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26" w:lineRule="atLeast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宋体" w:hAnsi="宋体"/>
          <w:kern w:val="0"/>
        </w:rPr>
        <w:t xml:space="preserve"> </w:t>
      </w: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政府信息公开分项统计表</w:t>
      </w:r>
    </w:p>
    <w:p>
      <w:pPr>
        <w:widowControl/>
        <w:adjustRightInd w:val="0"/>
        <w:snapToGrid w:val="0"/>
        <w:spacing w:before="156" w:beforeLines="50"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ˎ̥" w:eastAsia="仿宋_GB2312"/>
        </w:rPr>
        <w:t>（2018年度）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填报单位：（盖章）乐山市住房和城乡规划建设局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53"/>
        <w:gridCol w:w="6062"/>
        <w:gridCol w:w="441"/>
        <w:gridCol w:w="1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分项指标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一、主动公开政府信息情况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（同一条信息只能在以下8项中选择1项，不重复计算）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主动公开政府信息数</w:t>
            </w:r>
          </w:p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（与“总表”中的数据一致，应等于以下8项数据之和）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（一）政府行政机关机构概况信息数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（二）计划总结信息数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（三）行政规范性文件信息数（与“总表”中的“规范性文件”数据一致）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（四）工作动态信息数 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（五）人事信息数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（六）财政信息数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（七）行政执法信息数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（八）其他信息数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二、重点领域信息公开情况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（一）围绕“群众关切事项”推进公开情况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重大建设项目批准和实施领域信息公开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对经济社会发展、民生改善有直接或重要影响的投资项目信息公开数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本地区本行业社会关注度高的重大建设项目公开数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公共资源配置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领域信息公开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公共资源交易公告、资格审查结果、交易过程信息、成交信息、履约信息以及有关变更信息的公开数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社会公益事业建设领域信息公开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社会公益事业建设领域决策、管理、服务、执行、结果信息公开数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精准扶贫精准脱贫、社会救助托底保障、食品安全、重大环境污染和生态破坏事件调查处理等公开数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财政预决算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除涉密信息外，</w:t>
            </w: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公开政府批准的预算、预算调整、决算、预算执行情况的报告及报表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（二）围绕“推进四川高质量发展”推进公开情况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产业转型升级、产品质量提升信息公开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围绕省委省政府重大经济建设方针、战略等相关政策措施、执行情况和工作成效解读次数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外资、境外投资、企业外债、鼓励类外商投资项目的免税确认等相关政策宣传解读次数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公开行政事业性收费、政府性基金和政府定价涉企经营服务性收费目录清单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产业、产品、工程、服务、环境五大领域的质量动态信息公开数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缺陷产品名单及后续处理情况信息公开数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公开淘汰落后产能目录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是否发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布战略性新兴产业（产品）发展指导目录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（三）围绕“三大攻坚战”推进公开情况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围绕脱贫攻坚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扶贫规划、扶贫项目名称、资金来源、实施期限、预期目标、实施结果、实施单位及责任人、举报电话、检查验收结果等信息公开数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向特定区域特定人群的贫困识别、贫困退出、扶贫资金分配使用情况、帮扶责任人、扶贫成效等信息公开数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围绕防范化解重大风险攻坚战信息公开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相关政策解读次数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利用传统媒体或新媒体等平台进行舆论引导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市场违法违规行为公开数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围绕污染防治攻坚战信息公开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生态环境监测信息发布次数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县级城市环境空气质量情况、省控及以上水质自动监测站水质信息公开数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公开环保督察整改信息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（四）围绕“优化政务服务”推进公开情况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“放、管、服”改革信息公开</w:t>
            </w: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国家和省关于“互联网+政务服务”有关政策落实情况公开数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公开发布《四川省行政权力清单（2018年版）》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政务服务事项清理规范、减证便民专项行动、商事制度改革等改革结果和改革成效公开数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公开市场准入负面清单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公布“最多跑一次”清单和“全程网办”清单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审批办事服务相关工作措施、工作进展、改革成效等信息公开数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涉及群众办事的不合法不合理证明和手续的清理结果公开数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（五）围绕“保障和改善民生”推进公开情况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惠民便民政策措施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公布各项民生项目和资金拨付完成情况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重点民生工作信息公开数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城乡低保、特困人群救助供养、医疗救助、临时救助等信息公开数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就业创业政策措施、特殊群体就业专项活动、人员招录和就业供求信息公开数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公租房租赁政策、租赁补贴发放以及棚户区改造、住房维修等信息公开数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教育、医疗卫生、环境保护、食品药品监管和商品质量抽查检验、消费警示、提示等信息公开数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实施乡村振兴战略的政策、成效、资金、项目安排等信息公开数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人大代表建议和政协委员提案办理结果公开数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三、依申请公开情况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（同一条信息只能在以下5项中选择1项，不重复计算）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收到申请数</w:t>
            </w:r>
          </w:p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（与“总表”中的数据一致，应等于以下5项数据之和）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（一）集体土地和国有土地上房屋征收类信息申请数 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（二）财政资金类信息申请数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（三）行政执法类信息申请数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（四）劳动就业和社会保障类信息申请数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（五）其他信息申请数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Calibri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是否告知不公开救济渠道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华文细黑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四、信息公开载体建设情况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政务微博</w:t>
            </w: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县（市、区）政府已开设的官方政务微博数</w:t>
            </w:r>
          </w:p>
        </w:tc>
        <w:tc>
          <w:tcPr>
            <w:tcW w:w="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市级部门开设政务微博数             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政务微信</w:t>
            </w: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县（市、区）政府已开设的官方政务微信数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市级部门开设政务微博数 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在第三方平台开设政务账号或应用的情况（平台名称和账号）</w:t>
            </w: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今日头条号：乐山住建</w:t>
            </w:r>
          </w:p>
          <w:p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人民日报人民号：乐山住建</w:t>
            </w:r>
          </w:p>
          <w:p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百度百家号：乐山住建</w:t>
            </w:r>
          </w:p>
          <w:p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UC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大鱼号：乐山住建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仿宋_GB2312" w:hAnsi="华文细黑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华文细黑" w:eastAsia="仿宋_GB2312"/>
                <w:kern w:val="0"/>
                <w:sz w:val="20"/>
                <w:szCs w:val="20"/>
              </w:rPr>
              <w:t>如填报内容较多，可单独附文。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自行开发的移动客户端情况（移动客户端名称）</w:t>
            </w: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细黑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政务服务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信息公开查阅点个数 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全年接待公众查询人次数 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信息公开查阅点个数 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全年接待公众查询人次数 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信息公开查阅点个数 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全年接待公众查询人次数 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26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单位负责人：叶德松                   审核人：贾新战</w:t>
      </w:r>
      <w:r>
        <w:rPr>
          <w:rFonts w:hAnsi="宋体" w:cs="宋体"/>
          <w:kern w:val="0"/>
        </w:rPr>
        <w:t xml:space="preserve">     </w:t>
      </w:r>
      <w:r>
        <w:rPr>
          <w:rFonts w:hint="eastAsia" w:ascii="宋体" w:hAnsi="宋体"/>
          <w:kern w:val="0"/>
        </w:rPr>
        <w:t xml:space="preserve">   填报人：张泽浩 </w:t>
      </w:r>
    </w:p>
    <w:p>
      <w:pPr>
        <w:widowControl/>
        <w:adjustRightInd w:val="0"/>
        <w:snapToGrid w:val="0"/>
        <w:spacing w:line="326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联系电话：</w:t>
      </w:r>
      <w:r>
        <w:rPr>
          <w:rFonts w:hAnsi="宋体" w:cs="宋体"/>
          <w:kern w:val="0"/>
        </w:rPr>
        <w:t>2134106</w:t>
      </w:r>
      <w:r>
        <w:rPr>
          <w:rFonts w:hint="eastAsia" w:ascii="宋体" w:hAnsi="宋体"/>
          <w:kern w:val="0"/>
        </w:rPr>
        <w:t xml:space="preserve">                         填报日期：</w:t>
      </w:r>
      <w:r>
        <w:rPr>
          <w:rFonts w:hAnsi="宋体" w:cs="宋体"/>
          <w:kern w:val="0"/>
        </w:rPr>
        <w:t>2019</w:t>
      </w:r>
      <w:r>
        <w:rPr>
          <w:rFonts w:hint="eastAsia" w:ascii="宋体" w:hAnsi="宋体"/>
          <w:kern w:val="0"/>
        </w:rPr>
        <w:t>年</w:t>
      </w:r>
      <w:r>
        <w:rPr>
          <w:rFonts w:hAnsi="宋体" w:cs="宋体"/>
          <w:kern w:val="0"/>
        </w:rPr>
        <w:t>2</w:t>
      </w:r>
      <w:r>
        <w:rPr>
          <w:rFonts w:hint="eastAsia" w:ascii="宋体" w:hAnsi="宋体"/>
          <w:kern w:val="0"/>
        </w:rPr>
        <w:t>月</w:t>
      </w:r>
      <w:r>
        <w:rPr>
          <w:rFonts w:hAnsi="宋体" w:cs="宋体"/>
          <w:kern w:val="0"/>
        </w:rPr>
        <w:t>14</w:t>
      </w:r>
      <w:r>
        <w:rPr>
          <w:rFonts w:hint="eastAsia" w:ascii="宋体" w:hAnsi="宋体"/>
          <w:kern w:val="0"/>
        </w:rPr>
        <w:t>日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134" w:bottom="1418" w:left="113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9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</w:t>
    </w:r>
    <w:r>
      <w:rPr>
        <w:rStyle w:val="5"/>
        <w:rFonts w:hint="eastAsia" w:eastAsia="仿宋_GB2312"/>
        <w:sz w:val="28"/>
        <w:szCs w:val="28"/>
      </w:rPr>
      <w:t>—</w:t>
    </w:r>
  </w:p>
  <w:p>
    <w:pPr>
      <w:pStyle w:val="2"/>
      <w:ind w:right="360" w:firstLine="13440" w:firstLineChars="4800"/>
      <w:rPr>
        <w:rFonts w:hint="eastAsia"/>
        <w:sz w:val="28"/>
        <w:szCs w:val="28"/>
      </w:rPr>
    </w:pPr>
    <w:r>
      <w:rPr>
        <w:sz w:val="28"/>
        <w:szCs w:val="28"/>
      </w:rPr>
      <w:t>–</w:t>
    </w:r>
  </w:p>
  <w:p>
    <w:pPr>
      <w:pStyle w:val="2"/>
      <w:ind w:right="360" w:firstLine="8640" w:firstLineChars="48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10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129C"/>
    <w:rsid w:val="784B1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2020-11-26T03:25:00Z</dcterms:created>
  <dc:creator>好易通客服刘倩</dc:creator>
  <cp:lastModifiedBy>好易通客服刘倩</cp:lastModifiedBy>
  <dcterms:modified xsi:type="dcterms:W3CDTF">2020-11-26T03:25:42Z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