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bCs/>
          <w:sz w:val="21"/>
          <w:szCs w:val="21"/>
        </w:rPr>
      </w:pPr>
      <w:r>
        <w:rPr>
          <w:rFonts w:hint="eastAsia" w:ascii="仿宋" w:hAnsi="仿宋" w:eastAsia="仿宋" w:cs="仿宋"/>
          <w:sz w:val="24"/>
          <w:szCs w:val="24"/>
        </w:rPr>
        <w:t xml:space="preserve">附件：1  </w:t>
      </w:r>
      <w:r>
        <w:rPr>
          <w:rFonts w:hint="eastAsia" w:ascii="仿宋" w:hAnsi="仿宋" w:eastAsia="仿宋" w:cs="仿宋"/>
          <w:sz w:val="21"/>
          <w:szCs w:val="21"/>
        </w:rPr>
        <w:t xml:space="preserve"> </w:t>
      </w:r>
    </w:p>
    <w:p>
      <w:pPr>
        <w:jc w:val="center"/>
        <w:rPr>
          <w:rFonts w:ascii="仿宋" w:hAnsi="仿宋" w:eastAsia="仿宋" w:cs="仿宋"/>
          <w:b/>
          <w:bCs/>
          <w:sz w:val="32"/>
          <w:szCs w:val="32"/>
        </w:rPr>
      </w:pPr>
      <w:r>
        <w:rPr>
          <w:rFonts w:hint="eastAsia" w:ascii="仿宋_GB2312" w:eastAsia="仿宋_GB2312" w:cs="仿宋_GB2312"/>
          <w:b/>
          <w:bCs/>
          <w:color w:val="000000"/>
          <w:sz w:val="31"/>
          <w:szCs w:val="31"/>
        </w:rPr>
        <w:t xml:space="preserve">预拌混凝土生产企业检查情况汇总表 </w:t>
      </w:r>
    </w:p>
    <w:tbl>
      <w:tblPr>
        <w:tblStyle w:val="6"/>
        <w:tblW w:w="14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588"/>
        <w:gridCol w:w="1180"/>
        <w:gridCol w:w="6161"/>
        <w:gridCol w:w="125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4" w:type="dxa"/>
          </w:tcPr>
          <w:p>
            <w:pPr>
              <w:jc w:val="both"/>
              <w:rPr>
                <w:rFonts w:ascii="仿宋" w:hAnsi="仿宋" w:eastAsia="仿宋" w:cs="仿宋"/>
                <w:sz w:val="24"/>
                <w:szCs w:val="24"/>
              </w:rPr>
            </w:pPr>
            <w:r>
              <w:rPr>
                <w:rFonts w:hint="eastAsia" w:ascii="仿宋" w:hAnsi="仿宋" w:eastAsia="仿宋" w:cs="仿宋"/>
                <w:sz w:val="24"/>
                <w:szCs w:val="24"/>
              </w:rPr>
              <w:t>序号</w:t>
            </w:r>
          </w:p>
        </w:tc>
        <w:tc>
          <w:tcPr>
            <w:tcW w:w="3588" w:type="dxa"/>
          </w:tcPr>
          <w:p>
            <w:pPr>
              <w:jc w:val="center"/>
              <w:rPr>
                <w:rFonts w:ascii="仿宋" w:hAnsi="仿宋" w:eastAsia="仿宋" w:cs="仿宋"/>
                <w:sz w:val="24"/>
                <w:szCs w:val="24"/>
              </w:rPr>
            </w:pPr>
            <w:r>
              <w:rPr>
                <w:rFonts w:hint="eastAsia" w:ascii="仿宋" w:hAnsi="仿宋" w:eastAsia="仿宋" w:cs="仿宋"/>
                <w:sz w:val="24"/>
                <w:szCs w:val="24"/>
              </w:rPr>
              <w:t>企业名称</w:t>
            </w:r>
          </w:p>
        </w:tc>
        <w:tc>
          <w:tcPr>
            <w:tcW w:w="1180" w:type="dxa"/>
          </w:tcPr>
          <w:p>
            <w:pPr>
              <w:jc w:val="center"/>
              <w:rPr>
                <w:rFonts w:ascii="仿宋" w:hAnsi="仿宋" w:eastAsia="仿宋" w:cs="仿宋"/>
                <w:sz w:val="24"/>
                <w:szCs w:val="24"/>
              </w:rPr>
            </w:pPr>
            <w:r>
              <w:rPr>
                <w:rFonts w:hint="eastAsia" w:ascii="仿宋" w:hAnsi="仿宋" w:eastAsia="仿宋" w:cs="仿宋"/>
                <w:sz w:val="24"/>
                <w:szCs w:val="24"/>
              </w:rPr>
              <w:t>所属区县</w:t>
            </w:r>
          </w:p>
        </w:tc>
        <w:tc>
          <w:tcPr>
            <w:tcW w:w="6161" w:type="dxa"/>
          </w:tcPr>
          <w:p>
            <w:pPr>
              <w:jc w:val="center"/>
              <w:rPr>
                <w:rFonts w:ascii="仿宋" w:hAnsi="仿宋" w:eastAsia="仿宋" w:cs="仿宋"/>
                <w:sz w:val="24"/>
                <w:szCs w:val="24"/>
              </w:rPr>
            </w:pPr>
            <w:r>
              <w:rPr>
                <w:rFonts w:hint="eastAsia" w:ascii="仿宋" w:hAnsi="仿宋" w:eastAsia="仿宋" w:cs="仿宋"/>
                <w:sz w:val="24"/>
                <w:szCs w:val="24"/>
              </w:rPr>
              <w:t>检查情况及存在问题</w:t>
            </w:r>
          </w:p>
        </w:tc>
        <w:tc>
          <w:tcPr>
            <w:tcW w:w="1254" w:type="dxa"/>
          </w:tcPr>
          <w:p>
            <w:pPr>
              <w:jc w:val="center"/>
              <w:rPr>
                <w:rFonts w:ascii="仿宋" w:hAnsi="仿宋" w:eastAsia="仿宋" w:cs="仿宋"/>
                <w:sz w:val="24"/>
                <w:szCs w:val="24"/>
              </w:rPr>
            </w:pPr>
            <w:r>
              <w:rPr>
                <w:rFonts w:hint="eastAsia" w:ascii="仿宋" w:hAnsi="仿宋" w:eastAsia="仿宋" w:cs="仿宋"/>
                <w:sz w:val="24"/>
                <w:szCs w:val="24"/>
              </w:rPr>
              <w:t>处理情况</w:t>
            </w:r>
          </w:p>
        </w:tc>
        <w:tc>
          <w:tcPr>
            <w:tcW w:w="1420" w:type="dxa"/>
          </w:tcPr>
          <w:p>
            <w:pPr>
              <w:jc w:val="center"/>
              <w:rPr>
                <w:rFonts w:ascii="仿宋" w:hAnsi="仿宋" w:eastAsia="仿宋" w:cs="仿宋"/>
                <w:sz w:val="24"/>
                <w:szCs w:val="24"/>
              </w:rPr>
            </w:pPr>
            <w:r>
              <w:rPr>
                <w:rFonts w:hint="eastAsia" w:ascii="仿宋" w:hAnsi="仿宋" w:eastAsia="仿宋" w:cs="仿宋"/>
                <w:sz w:val="24"/>
                <w:szCs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both"/>
              <w:rPr>
                <w:rFonts w:ascii="仿宋" w:hAnsi="仿宋" w:eastAsia="仿宋" w:cs="仿宋"/>
                <w:sz w:val="24"/>
                <w:szCs w:val="24"/>
              </w:rPr>
            </w:pPr>
            <w:r>
              <w:rPr>
                <w:rFonts w:hint="eastAsia" w:ascii="仿宋" w:hAnsi="仿宋" w:eastAsia="仿宋" w:cs="仿宋"/>
                <w:sz w:val="24"/>
                <w:szCs w:val="24"/>
              </w:rPr>
              <w:t>1</w:t>
            </w:r>
          </w:p>
        </w:tc>
        <w:tc>
          <w:tcPr>
            <w:tcW w:w="3588" w:type="dxa"/>
          </w:tcPr>
          <w:p>
            <w:pPr>
              <w:jc w:val="both"/>
              <w:rPr>
                <w:rFonts w:ascii="仿宋" w:hAnsi="仿宋" w:eastAsia="仿宋" w:cs="仿宋"/>
                <w:sz w:val="24"/>
                <w:szCs w:val="24"/>
              </w:rPr>
            </w:pPr>
            <w:r>
              <w:rPr>
                <w:rFonts w:hint="eastAsia" w:ascii="仿宋" w:hAnsi="仿宋" w:eastAsia="仿宋" w:cs="仿宋"/>
                <w:sz w:val="24"/>
                <w:szCs w:val="24"/>
              </w:rPr>
              <w:t>犍为县翔云混凝土有限公司</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犍为县</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1.资质管理方面：预拌混凝土生产企业质量保证体系不健全、不能保障有效运行；混凝土实验室布置不合理、试验环境条件不能保障；2.原材料管理方面：近期进场砂、石、外加剂检验记录审核人未签字，外加剂质量证明材料缺失；3.试验室管理方面：混凝土实验室布局、面积不合理，水泥胶砂流动性试验台不符合规范，水泥养护箱温度不能满足要求，比表面积环境条件不满足，试验环境条件不能保障；试件唯一性不明确；无试验报告；4.生产管理方面：试模无对应编号，无法溯源；发货单收集不全，与台账不一致。</w:t>
            </w:r>
          </w:p>
        </w:tc>
        <w:tc>
          <w:tcPr>
            <w:tcW w:w="1254"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both"/>
              <w:rPr>
                <w:rFonts w:ascii="仿宋" w:hAnsi="仿宋" w:eastAsia="仿宋" w:cs="仿宋"/>
                <w:sz w:val="24"/>
                <w:szCs w:val="24"/>
              </w:rPr>
            </w:pPr>
            <w:r>
              <w:rPr>
                <w:rFonts w:hint="eastAsia" w:ascii="仿宋" w:hAnsi="仿宋" w:eastAsia="仿宋" w:cs="仿宋"/>
                <w:sz w:val="24"/>
                <w:szCs w:val="24"/>
              </w:rPr>
              <w:t>2</w:t>
            </w:r>
          </w:p>
        </w:tc>
        <w:tc>
          <w:tcPr>
            <w:tcW w:w="3588" w:type="dxa"/>
          </w:tcPr>
          <w:p>
            <w:pPr>
              <w:jc w:val="both"/>
              <w:rPr>
                <w:rFonts w:ascii="仿宋" w:hAnsi="仿宋" w:eastAsia="仿宋" w:cs="仿宋"/>
                <w:sz w:val="24"/>
                <w:szCs w:val="24"/>
              </w:rPr>
            </w:pPr>
            <w:r>
              <w:rPr>
                <w:rFonts w:hint="eastAsia" w:ascii="仿宋" w:hAnsi="仿宋" w:eastAsia="仿宋" w:cs="仿宋"/>
                <w:sz w:val="24"/>
                <w:szCs w:val="24"/>
              </w:rPr>
              <w:t>乐山市佳安商品混凝土有限公司</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五通桥区</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1.资质管理方面：混凝土实验室布置不符合要求、标准养护室温度不符合要求；2.原材料管理方面：采购制度制定过于简单，管理制度缺失；原材料进场验收记录缺失；进场检测试验台账缺失；3.试验室管理方面：混凝土实验室布局、面积不合理，试验仪器设备未及时维护和更新，电子秤配备不够；部分设备已超过有效检定期；部分规范标准未更新；试块上无唯一性标识；未采用年度统一编号，水泥检测原始记录上多组未到28天龄期但已有28天的检测数据；配合比确认签字未机打，无手写签字；4.生产管理方面：留置样品编号不明确，无法溯源；出厂检验试块未采用年度连续编号。</w:t>
            </w:r>
          </w:p>
        </w:tc>
        <w:tc>
          <w:tcPr>
            <w:tcW w:w="1254"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both"/>
              <w:rPr>
                <w:rFonts w:ascii="仿宋" w:hAnsi="仿宋" w:eastAsia="仿宋" w:cs="仿宋"/>
                <w:sz w:val="24"/>
                <w:szCs w:val="24"/>
              </w:rPr>
            </w:pPr>
            <w:r>
              <w:rPr>
                <w:rFonts w:hint="eastAsia" w:ascii="仿宋" w:hAnsi="仿宋" w:eastAsia="仿宋" w:cs="仿宋"/>
                <w:sz w:val="24"/>
                <w:szCs w:val="24"/>
              </w:rPr>
              <w:t>3</w:t>
            </w:r>
          </w:p>
        </w:tc>
        <w:tc>
          <w:tcPr>
            <w:tcW w:w="3588" w:type="dxa"/>
          </w:tcPr>
          <w:p>
            <w:pPr>
              <w:jc w:val="both"/>
              <w:rPr>
                <w:rFonts w:ascii="仿宋" w:hAnsi="仿宋" w:eastAsia="仿宋" w:cs="仿宋"/>
                <w:sz w:val="24"/>
                <w:szCs w:val="24"/>
              </w:rPr>
            </w:pPr>
            <w:r>
              <w:rPr>
                <w:rFonts w:hint="eastAsia" w:ascii="仿宋" w:hAnsi="仿宋" w:eastAsia="仿宋" w:cs="仿宋"/>
                <w:sz w:val="24"/>
                <w:szCs w:val="24"/>
              </w:rPr>
              <w:t>乐山平信建材有限公司</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市中区</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实验管理方面，集料室、配合比室缺温控设备。</w:t>
            </w:r>
          </w:p>
        </w:tc>
        <w:tc>
          <w:tcPr>
            <w:tcW w:w="1254" w:type="dxa"/>
          </w:tcPr>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r>
              <w:rPr>
                <w:rFonts w:hint="eastAsia" w:ascii="仿宋" w:hAnsi="仿宋" w:eastAsia="仿宋" w:cs="仿宋"/>
                <w:sz w:val="24"/>
                <w:szCs w:val="24"/>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pPr>
              <w:jc w:val="both"/>
              <w:rPr>
                <w:rFonts w:ascii="仿宋" w:hAnsi="仿宋" w:eastAsia="仿宋" w:cs="仿宋"/>
                <w:sz w:val="24"/>
                <w:szCs w:val="24"/>
              </w:rPr>
            </w:pPr>
            <w:r>
              <w:rPr>
                <w:rFonts w:hint="eastAsia" w:ascii="仿宋" w:hAnsi="仿宋" w:eastAsia="仿宋" w:cs="仿宋"/>
                <w:sz w:val="24"/>
                <w:szCs w:val="24"/>
              </w:rPr>
              <w:t>4</w:t>
            </w:r>
          </w:p>
        </w:tc>
        <w:tc>
          <w:tcPr>
            <w:tcW w:w="3588" w:type="dxa"/>
          </w:tcPr>
          <w:p>
            <w:pPr>
              <w:jc w:val="both"/>
              <w:rPr>
                <w:rFonts w:ascii="仿宋" w:hAnsi="仿宋" w:eastAsia="仿宋" w:cs="仿宋"/>
                <w:sz w:val="24"/>
                <w:szCs w:val="24"/>
              </w:rPr>
            </w:pPr>
            <w:r>
              <w:rPr>
                <w:rFonts w:hint="eastAsia" w:ascii="仿宋" w:hAnsi="仿宋" w:eastAsia="仿宋" w:cs="仿宋"/>
                <w:sz w:val="24"/>
                <w:szCs w:val="24"/>
              </w:rPr>
              <w:t>乐山市金口河区九九商品混凝土有限公司</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金口河区</w:t>
            </w:r>
          </w:p>
        </w:tc>
        <w:tc>
          <w:tcPr>
            <w:tcW w:w="6161" w:type="dxa"/>
          </w:tcPr>
          <w:p>
            <w:pPr>
              <w:autoSpaceDE/>
              <w:autoSpaceDN/>
              <w:spacing w:line="10" w:lineRule="atLeast"/>
              <w:jc w:val="both"/>
              <w:rPr>
                <w:rFonts w:hint="eastAsia" w:ascii="仿宋" w:hAnsi="仿宋" w:eastAsia="仿宋" w:cs="仿宋"/>
                <w:sz w:val="24"/>
                <w:szCs w:val="24"/>
                <w:lang w:eastAsia="zh-CN"/>
              </w:rPr>
            </w:pPr>
            <w:r>
              <w:rPr>
                <w:rFonts w:hint="eastAsia" w:ascii="仿宋" w:hAnsi="仿宋" w:eastAsia="仿宋" w:cs="仿宋"/>
                <w:sz w:val="24"/>
                <w:szCs w:val="24"/>
              </w:rPr>
              <w:t>1.资质管理方面：缺质量保障体系及制度；2</w:t>
            </w:r>
            <w:r>
              <w:rPr>
                <w:rFonts w:hint="eastAsia" w:ascii="仿宋" w:hAnsi="仿宋" w:eastAsia="仿宋" w:cs="仿宋"/>
                <w:sz w:val="24"/>
                <w:szCs w:val="24"/>
                <w:lang w:val="en-US" w:eastAsia="zh-CN"/>
              </w:rPr>
              <w:t>.</w:t>
            </w:r>
            <w:r>
              <w:rPr>
                <w:rFonts w:hint="eastAsia" w:ascii="仿宋" w:hAnsi="仿宋" w:eastAsia="仿宋" w:cs="仿宋"/>
                <w:sz w:val="24"/>
                <w:szCs w:val="24"/>
              </w:rPr>
              <w:t>原材料管理方面：混凝土原材料采购、使用管理制度缺失；混凝土原材料进场验收记录缺失，仅见水泥进场记录；部分进场检测试验台账不完善；3</w:t>
            </w:r>
            <w:r>
              <w:rPr>
                <w:rFonts w:hint="eastAsia" w:ascii="仿宋" w:hAnsi="仿宋" w:eastAsia="仿宋" w:cs="仿宋"/>
                <w:sz w:val="24"/>
                <w:szCs w:val="24"/>
                <w:lang w:val="en-US" w:eastAsia="zh-CN"/>
              </w:rPr>
              <w:t>.</w:t>
            </w:r>
            <w:r>
              <w:rPr>
                <w:rFonts w:hint="eastAsia" w:ascii="仿宋" w:hAnsi="仿宋" w:eastAsia="仿宋" w:cs="仿宋"/>
                <w:sz w:val="24"/>
                <w:szCs w:val="24"/>
              </w:rPr>
              <w:t>实验管理方面：实验仪器校准证书过期；未见实验报告；混凝土强度数理统计评定缺失；未见混凝土异常情况处理措施；生产管理方面：开盘鉴定资料缺失；未见设备使用和维修保养记录；搅拌系统计量设备校准证书过期；未见出厂检验、合格证或开盘鉴定、基本性能实验报告等资料</w:t>
            </w:r>
            <w:r>
              <w:rPr>
                <w:rFonts w:hint="eastAsia" w:ascii="仿宋" w:hAnsi="仿宋" w:eastAsia="仿宋" w:cs="仿宋"/>
                <w:sz w:val="24"/>
                <w:szCs w:val="24"/>
                <w:lang w:eastAsia="zh-CN"/>
              </w:rPr>
              <w:t>。</w:t>
            </w:r>
          </w:p>
        </w:tc>
        <w:tc>
          <w:tcPr>
            <w:tcW w:w="1254" w:type="dxa"/>
          </w:tcPr>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r>
              <w:rPr>
                <w:rFonts w:hint="eastAsia" w:ascii="仿宋" w:hAnsi="仿宋" w:eastAsia="仿宋" w:cs="仿宋"/>
                <w:sz w:val="24"/>
                <w:szCs w:val="24"/>
              </w:rPr>
              <w:t>整改完毕</w:t>
            </w:r>
          </w:p>
        </w:tc>
      </w:tr>
    </w:tbl>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br w:type="page"/>
      </w:r>
    </w:p>
    <w:p>
      <w:pPr>
        <w:jc w:val="both"/>
        <w:rPr>
          <w:rFonts w:ascii="仿宋" w:hAnsi="仿宋" w:eastAsia="仿宋" w:cs="仿宋"/>
          <w:sz w:val="21"/>
          <w:szCs w:val="21"/>
        </w:rPr>
      </w:pPr>
      <w:r>
        <w:rPr>
          <w:rFonts w:hint="eastAsia" w:ascii="仿宋" w:hAnsi="仿宋" w:eastAsia="仿宋" w:cs="仿宋"/>
          <w:sz w:val="24"/>
          <w:szCs w:val="24"/>
        </w:rPr>
        <w:t>附件：2</w:t>
      </w:r>
      <w:r>
        <w:rPr>
          <w:rFonts w:hint="eastAsia" w:ascii="仿宋" w:hAnsi="仿宋" w:eastAsia="仿宋" w:cs="仿宋"/>
          <w:sz w:val="21"/>
          <w:szCs w:val="21"/>
        </w:rPr>
        <w:t xml:space="preserve"> </w:t>
      </w:r>
    </w:p>
    <w:p>
      <w:pPr>
        <w:jc w:val="center"/>
        <w:rPr>
          <w:rFonts w:ascii="仿宋_GB2312" w:eastAsia="仿宋_GB2312" w:cs="仿宋_GB2312"/>
          <w:b/>
          <w:bCs/>
          <w:color w:val="000000"/>
          <w:sz w:val="31"/>
          <w:szCs w:val="31"/>
        </w:rPr>
      </w:pPr>
      <w:r>
        <w:rPr>
          <w:rFonts w:hint="eastAsia" w:ascii="仿宋_GB2312" w:eastAsia="仿宋_GB2312" w:cs="仿宋_GB2312"/>
          <w:b/>
          <w:bCs/>
          <w:color w:val="000000"/>
          <w:sz w:val="31"/>
          <w:szCs w:val="31"/>
        </w:rPr>
        <w:t>在建工程预拌混凝土使用单位检查情况汇总表</w:t>
      </w:r>
    </w:p>
    <w:tbl>
      <w:tblPr>
        <w:tblStyle w:val="6"/>
        <w:tblW w:w="14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65"/>
        <w:gridCol w:w="1180"/>
        <w:gridCol w:w="6161"/>
        <w:gridCol w:w="125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7" w:type="dxa"/>
          </w:tcPr>
          <w:p>
            <w:pPr>
              <w:jc w:val="both"/>
              <w:rPr>
                <w:rFonts w:ascii="仿宋" w:hAnsi="仿宋" w:eastAsia="仿宋" w:cs="仿宋"/>
                <w:sz w:val="24"/>
                <w:szCs w:val="24"/>
              </w:rPr>
            </w:pPr>
            <w:r>
              <w:rPr>
                <w:rFonts w:hint="eastAsia" w:ascii="仿宋" w:hAnsi="仿宋" w:eastAsia="仿宋" w:cs="仿宋"/>
                <w:sz w:val="24"/>
                <w:szCs w:val="24"/>
              </w:rPr>
              <w:t>序号</w:t>
            </w:r>
          </w:p>
        </w:tc>
        <w:tc>
          <w:tcPr>
            <w:tcW w:w="3665" w:type="dxa"/>
          </w:tcPr>
          <w:p>
            <w:pPr>
              <w:jc w:val="center"/>
              <w:rPr>
                <w:rFonts w:ascii="仿宋" w:hAnsi="仿宋" w:eastAsia="仿宋" w:cs="仿宋"/>
                <w:sz w:val="24"/>
                <w:szCs w:val="24"/>
              </w:rPr>
            </w:pPr>
            <w:r>
              <w:rPr>
                <w:rFonts w:hint="eastAsia" w:ascii="仿宋" w:hAnsi="仿宋" w:eastAsia="仿宋" w:cs="仿宋"/>
                <w:sz w:val="24"/>
                <w:szCs w:val="24"/>
              </w:rPr>
              <w:t>工程名称</w:t>
            </w:r>
          </w:p>
        </w:tc>
        <w:tc>
          <w:tcPr>
            <w:tcW w:w="1180" w:type="dxa"/>
          </w:tcPr>
          <w:p>
            <w:pPr>
              <w:jc w:val="center"/>
              <w:rPr>
                <w:rFonts w:ascii="仿宋" w:hAnsi="仿宋" w:eastAsia="仿宋" w:cs="仿宋"/>
                <w:sz w:val="24"/>
                <w:szCs w:val="24"/>
              </w:rPr>
            </w:pPr>
            <w:r>
              <w:rPr>
                <w:rFonts w:hint="eastAsia" w:ascii="仿宋" w:hAnsi="仿宋" w:eastAsia="仿宋" w:cs="仿宋"/>
                <w:sz w:val="24"/>
                <w:szCs w:val="24"/>
              </w:rPr>
              <w:t>所属区县</w:t>
            </w:r>
          </w:p>
        </w:tc>
        <w:tc>
          <w:tcPr>
            <w:tcW w:w="6161" w:type="dxa"/>
          </w:tcPr>
          <w:p>
            <w:pPr>
              <w:jc w:val="center"/>
              <w:rPr>
                <w:rFonts w:ascii="仿宋" w:hAnsi="仿宋" w:eastAsia="仿宋" w:cs="仿宋"/>
                <w:sz w:val="24"/>
                <w:szCs w:val="24"/>
              </w:rPr>
            </w:pPr>
            <w:r>
              <w:rPr>
                <w:rFonts w:hint="eastAsia" w:ascii="仿宋" w:hAnsi="仿宋" w:eastAsia="仿宋" w:cs="仿宋"/>
                <w:sz w:val="24"/>
                <w:szCs w:val="24"/>
              </w:rPr>
              <w:t>检查情况及存在问题</w:t>
            </w:r>
          </w:p>
        </w:tc>
        <w:tc>
          <w:tcPr>
            <w:tcW w:w="1254" w:type="dxa"/>
          </w:tcPr>
          <w:p>
            <w:pPr>
              <w:jc w:val="center"/>
              <w:rPr>
                <w:rFonts w:ascii="仿宋" w:hAnsi="仿宋" w:eastAsia="仿宋" w:cs="仿宋"/>
                <w:sz w:val="24"/>
                <w:szCs w:val="24"/>
              </w:rPr>
            </w:pPr>
            <w:r>
              <w:rPr>
                <w:rFonts w:hint="eastAsia" w:ascii="仿宋" w:hAnsi="仿宋" w:eastAsia="仿宋" w:cs="仿宋"/>
                <w:sz w:val="24"/>
                <w:szCs w:val="24"/>
              </w:rPr>
              <w:t>处理情况</w:t>
            </w:r>
          </w:p>
        </w:tc>
        <w:tc>
          <w:tcPr>
            <w:tcW w:w="1420" w:type="dxa"/>
          </w:tcPr>
          <w:p>
            <w:pPr>
              <w:jc w:val="center"/>
              <w:rPr>
                <w:rFonts w:ascii="仿宋" w:hAnsi="仿宋" w:eastAsia="仿宋" w:cs="仿宋"/>
                <w:sz w:val="24"/>
                <w:szCs w:val="24"/>
              </w:rPr>
            </w:pPr>
            <w:r>
              <w:rPr>
                <w:rFonts w:hint="eastAsia" w:ascii="仿宋" w:hAnsi="仿宋" w:eastAsia="仿宋" w:cs="仿宋"/>
                <w:sz w:val="24"/>
                <w:szCs w:val="24"/>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both"/>
              <w:rPr>
                <w:rFonts w:ascii="仿宋" w:hAnsi="仿宋" w:eastAsia="仿宋" w:cs="仿宋"/>
                <w:sz w:val="24"/>
                <w:szCs w:val="24"/>
              </w:rPr>
            </w:pPr>
            <w:r>
              <w:rPr>
                <w:rFonts w:hint="eastAsia" w:ascii="仿宋" w:hAnsi="仿宋" w:eastAsia="仿宋" w:cs="仿宋"/>
                <w:sz w:val="24"/>
                <w:szCs w:val="24"/>
              </w:rPr>
              <w:t>1</w:t>
            </w:r>
          </w:p>
        </w:tc>
        <w:tc>
          <w:tcPr>
            <w:tcW w:w="3665" w:type="dxa"/>
          </w:tcPr>
          <w:p>
            <w:pPr>
              <w:jc w:val="both"/>
              <w:rPr>
                <w:rFonts w:ascii="仿宋" w:hAnsi="仿宋" w:eastAsia="仿宋" w:cs="仿宋"/>
                <w:sz w:val="24"/>
                <w:szCs w:val="24"/>
              </w:rPr>
            </w:pPr>
            <w:r>
              <w:rPr>
                <w:rFonts w:hint="eastAsia" w:ascii="仿宋" w:hAnsi="仿宋" w:eastAsia="仿宋" w:cs="仿宋"/>
                <w:sz w:val="24"/>
                <w:szCs w:val="24"/>
              </w:rPr>
              <w:t>犍为县中医医养综合项目（一期）</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犍为县</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1.监理单位中科三正建设集团有限公司对混凝土的养护巡视记录缺失；2.施工单位未按要求对混凝土施工进行技术交底；7月份混凝土浇筑台账缺失；3.混凝土外观存在麻面、蜂窝等一般质量缺陷。</w:t>
            </w:r>
          </w:p>
        </w:tc>
        <w:tc>
          <w:tcPr>
            <w:tcW w:w="1254" w:type="dxa"/>
          </w:tcPr>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jc w:val="both"/>
              <w:rPr>
                <w:rFonts w:ascii="仿宋" w:hAnsi="仿宋" w:eastAsia="仿宋" w:cs="仿宋"/>
                <w:sz w:val="24"/>
                <w:szCs w:val="24"/>
              </w:rPr>
            </w:pPr>
            <w:r>
              <w:rPr>
                <w:rFonts w:hint="eastAsia" w:ascii="仿宋" w:hAnsi="仿宋" w:eastAsia="仿宋" w:cs="仿宋"/>
                <w:sz w:val="24"/>
                <w:szCs w:val="24"/>
              </w:rPr>
              <w:t>2</w:t>
            </w:r>
          </w:p>
        </w:tc>
        <w:tc>
          <w:tcPr>
            <w:tcW w:w="3665" w:type="dxa"/>
          </w:tcPr>
          <w:p>
            <w:pPr>
              <w:jc w:val="both"/>
              <w:rPr>
                <w:rFonts w:ascii="仿宋" w:hAnsi="仿宋" w:eastAsia="仿宋" w:cs="仿宋"/>
                <w:sz w:val="24"/>
                <w:szCs w:val="24"/>
              </w:rPr>
            </w:pPr>
            <w:r>
              <w:rPr>
                <w:rFonts w:hint="eastAsia" w:ascii="仿宋" w:hAnsi="仿宋" w:eastAsia="仿宋" w:cs="仿宋"/>
                <w:sz w:val="24"/>
                <w:szCs w:val="24"/>
              </w:rPr>
              <w:t>五通桥河东片区安置房建设项目（一期）</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五通桥区</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1.监理单位四川建科工程建设管理有限公司对混凝土生产企业资质未审批、检测机构审批表日期缺失；2.监理单位未对施工单位检测实验计划进行审查；3.抽查发现2024年7月7日浇筑的400m³混凝土旁站记录缺失；4.施工单位四川省蜀通建设集团有限责任公司未将检测实验计划报监理单位审查；5.进场预拌混凝土交验台账缺失；6.留置混凝土试块未标注成型日期，试块缺角严重；现场标养室温度计缺失。</w:t>
            </w:r>
          </w:p>
        </w:tc>
        <w:tc>
          <w:tcPr>
            <w:tcW w:w="1254"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p>
          <w:p>
            <w:pPr>
              <w:jc w:val="both"/>
              <w:rPr>
                <w:rFonts w:ascii="仿宋" w:hAnsi="仿宋" w:eastAsia="仿宋" w:cs="仿宋"/>
                <w:sz w:val="24"/>
                <w:szCs w:val="24"/>
              </w:rPr>
            </w:pPr>
            <w:r>
              <w:rPr>
                <w:rFonts w:hint="eastAsia" w:ascii="仿宋" w:hAnsi="仿宋" w:eastAsia="仿宋" w:cs="仿宋"/>
                <w:sz w:val="24"/>
                <w:szCs w:val="24"/>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47" w:type="dxa"/>
          </w:tcPr>
          <w:p>
            <w:pPr>
              <w:jc w:val="both"/>
              <w:rPr>
                <w:rFonts w:ascii="仿宋" w:hAnsi="仿宋" w:eastAsia="仿宋" w:cs="仿宋"/>
                <w:sz w:val="24"/>
                <w:szCs w:val="24"/>
              </w:rPr>
            </w:pPr>
            <w:r>
              <w:rPr>
                <w:rFonts w:hint="eastAsia" w:ascii="仿宋" w:hAnsi="仿宋" w:eastAsia="仿宋" w:cs="仿宋"/>
                <w:sz w:val="24"/>
                <w:szCs w:val="24"/>
              </w:rPr>
              <w:t>3</w:t>
            </w:r>
          </w:p>
        </w:tc>
        <w:tc>
          <w:tcPr>
            <w:tcW w:w="3665" w:type="dxa"/>
          </w:tcPr>
          <w:p>
            <w:pPr>
              <w:jc w:val="both"/>
              <w:rPr>
                <w:rFonts w:ascii="仿宋" w:hAnsi="仿宋" w:eastAsia="仿宋" w:cs="仿宋"/>
                <w:sz w:val="24"/>
                <w:szCs w:val="24"/>
              </w:rPr>
            </w:pPr>
            <w:r>
              <w:rPr>
                <w:rFonts w:hint="eastAsia" w:ascii="仿宋" w:hAnsi="仿宋" w:eastAsia="仿宋" w:cs="仿宋"/>
                <w:sz w:val="24"/>
                <w:szCs w:val="24"/>
              </w:rPr>
              <w:t>未来花园城二期</w:t>
            </w:r>
          </w:p>
        </w:tc>
        <w:tc>
          <w:tcPr>
            <w:tcW w:w="1180" w:type="dxa"/>
          </w:tcPr>
          <w:p>
            <w:pPr>
              <w:jc w:val="both"/>
              <w:rPr>
                <w:rFonts w:ascii="仿宋" w:hAnsi="仿宋" w:eastAsia="仿宋" w:cs="仿宋"/>
                <w:sz w:val="24"/>
                <w:szCs w:val="24"/>
              </w:rPr>
            </w:pPr>
            <w:r>
              <w:rPr>
                <w:rFonts w:hint="eastAsia" w:ascii="仿宋" w:hAnsi="仿宋" w:eastAsia="仿宋" w:cs="仿宋"/>
                <w:sz w:val="24"/>
                <w:szCs w:val="24"/>
              </w:rPr>
              <w:t>高新区</w:t>
            </w:r>
          </w:p>
        </w:tc>
        <w:tc>
          <w:tcPr>
            <w:tcW w:w="6161" w:type="dxa"/>
          </w:tcPr>
          <w:p>
            <w:pPr>
              <w:autoSpaceDE/>
              <w:autoSpaceDN/>
              <w:spacing w:line="10" w:lineRule="atLeast"/>
              <w:jc w:val="both"/>
              <w:rPr>
                <w:rFonts w:ascii="仿宋" w:hAnsi="仿宋" w:eastAsia="仿宋" w:cs="仿宋"/>
                <w:sz w:val="24"/>
                <w:szCs w:val="24"/>
              </w:rPr>
            </w:pPr>
            <w:r>
              <w:rPr>
                <w:rFonts w:hint="eastAsia" w:ascii="仿宋" w:hAnsi="仿宋" w:eastAsia="仿宋" w:cs="仿宋"/>
                <w:sz w:val="24"/>
                <w:szCs w:val="24"/>
              </w:rPr>
              <w:t>1.监理单位四川四强建设项目管理 有限公司未对施工单位检测实验计划进行审查；2</w:t>
            </w:r>
            <w:r>
              <w:rPr>
                <w:rFonts w:hint="eastAsia" w:ascii="仿宋" w:hAnsi="仿宋" w:eastAsia="仿宋" w:cs="仿宋"/>
                <w:sz w:val="24"/>
                <w:szCs w:val="24"/>
                <w:lang w:val="en-US" w:eastAsia="zh-CN"/>
              </w:rPr>
              <w:t>.</w:t>
            </w:r>
            <w:r>
              <w:rPr>
                <w:rFonts w:hint="eastAsia" w:ascii="仿宋" w:hAnsi="仿宋" w:eastAsia="仿宋" w:cs="仿宋"/>
                <w:sz w:val="24"/>
                <w:szCs w:val="24"/>
              </w:rPr>
              <w:t>施工单位四川文亦晟建设工程有限公司编制</w:t>
            </w:r>
            <w:r>
              <w:rPr>
                <w:rFonts w:hint="eastAsia" w:ascii="仿宋" w:hAnsi="仿宋" w:eastAsia="仿宋" w:cs="仿宋"/>
                <w:sz w:val="24"/>
                <w:szCs w:val="24"/>
                <w:lang w:eastAsia="zh-CN"/>
              </w:rPr>
              <w:t>的</w:t>
            </w:r>
            <w:r>
              <w:rPr>
                <w:rFonts w:hint="eastAsia" w:ascii="仿宋" w:hAnsi="仿宋" w:eastAsia="仿宋" w:cs="仿宋"/>
                <w:sz w:val="24"/>
                <w:szCs w:val="24"/>
              </w:rPr>
              <w:t>检测计划未报监理审查；3</w:t>
            </w:r>
            <w:r>
              <w:rPr>
                <w:rFonts w:hint="eastAsia" w:ascii="仿宋" w:hAnsi="仿宋" w:eastAsia="仿宋" w:cs="仿宋"/>
                <w:sz w:val="24"/>
                <w:szCs w:val="24"/>
                <w:lang w:val="en-US" w:eastAsia="zh-CN"/>
              </w:rPr>
              <w:t>.</w:t>
            </w:r>
            <w:r>
              <w:rPr>
                <w:rFonts w:hint="eastAsia" w:ascii="仿宋" w:hAnsi="仿宋" w:eastAsia="仿宋" w:cs="仿宋"/>
                <w:sz w:val="24"/>
                <w:szCs w:val="24"/>
              </w:rPr>
              <w:t>施工单位标养室检查时未处于运行状态。</w:t>
            </w:r>
          </w:p>
        </w:tc>
        <w:tc>
          <w:tcPr>
            <w:tcW w:w="1254" w:type="dxa"/>
          </w:tcPr>
          <w:p>
            <w:pPr>
              <w:jc w:val="both"/>
              <w:rPr>
                <w:rFonts w:ascii="仿宋" w:hAnsi="仿宋" w:eastAsia="仿宋" w:cs="仿宋"/>
                <w:sz w:val="24"/>
                <w:szCs w:val="24"/>
              </w:rPr>
            </w:pPr>
            <w:r>
              <w:rPr>
                <w:rFonts w:hint="eastAsia" w:ascii="仿宋" w:hAnsi="仿宋" w:eastAsia="仿宋" w:cs="仿宋"/>
                <w:sz w:val="24"/>
                <w:szCs w:val="24"/>
              </w:rPr>
              <w:t>限期整改</w:t>
            </w:r>
          </w:p>
        </w:tc>
        <w:tc>
          <w:tcPr>
            <w:tcW w:w="1420" w:type="dxa"/>
          </w:tcPr>
          <w:p>
            <w:pPr>
              <w:jc w:val="both"/>
              <w:rPr>
                <w:rFonts w:ascii="仿宋" w:hAnsi="仿宋" w:eastAsia="仿宋" w:cs="仿宋"/>
                <w:sz w:val="24"/>
                <w:szCs w:val="24"/>
              </w:rPr>
            </w:pPr>
            <w:r>
              <w:rPr>
                <w:rFonts w:hint="eastAsia" w:ascii="仿宋" w:hAnsi="仿宋" w:eastAsia="仿宋" w:cs="仿宋"/>
                <w:sz w:val="24"/>
                <w:szCs w:val="24"/>
              </w:rPr>
              <w:t>整改完毕</w:t>
            </w:r>
          </w:p>
        </w:tc>
      </w:tr>
    </w:tbl>
    <w:p>
      <w:pPr>
        <w:rPr>
          <w:rFonts w:ascii="仿宋" w:hAnsi="仿宋" w:eastAsia="仿宋" w:cs="仿宋"/>
          <w:sz w:val="32"/>
          <w:szCs w:val="32"/>
        </w:rPr>
      </w:pPr>
      <w:bookmarkStart w:id="0" w:name="_GoBack"/>
      <w:bookmarkEnd w:id="0"/>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OGI3NzlmNWJkYzEzM2YyODQ0NTQyMWM5M2I2ZGYifQ=="/>
  </w:docVars>
  <w:rsids>
    <w:rsidRoot w:val="1EDB5D80"/>
    <w:rsid w:val="00731043"/>
    <w:rsid w:val="007B1979"/>
    <w:rsid w:val="00F41D16"/>
    <w:rsid w:val="019A6286"/>
    <w:rsid w:val="03DA52F7"/>
    <w:rsid w:val="057B5F56"/>
    <w:rsid w:val="06B332BE"/>
    <w:rsid w:val="09A211C4"/>
    <w:rsid w:val="0CB50B2E"/>
    <w:rsid w:val="0DDC32E1"/>
    <w:rsid w:val="0E1441E6"/>
    <w:rsid w:val="126E5782"/>
    <w:rsid w:val="15F577B9"/>
    <w:rsid w:val="18D933FD"/>
    <w:rsid w:val="1EDB5D80"/>
    <w:rsid w:val="285F5A17"/>
    <w:rsid w:val="2A7C69D0"/>
    <w:rsid w:val="308351A8"/>
    <w:rsid w:val="3A3D3380"/>
    <w:rsid w:val="415112DC"/>
    <w:rsid w:val="4641261F"/>
    <w:rsid w:val="4872130C"/>
    <w:rsid w:val="498056B3"/>
    <w:rsid w:val="53E8594C"/>
    <w:rsid w:val="5A756F3E"/>
    <w:rsid w:val="5C714E1F"/>
    <w:rsid w:val="5DDB334C"/>
    <w:rsid w:val="64691FE6"/>
    <w:rsid w:val="676C7CE3"/>
    <w:rsid w:val="73E30443"/>
    <w:rsid w:val="75716DB8"/>
    <w:rsid w:val="76167BDA"/>
    <w:rsid w:val="79DA1C1D"/>
    <w:rsid w:val="7D5A72E0"/>
    <w:rsid w:val="FFD6D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1"/>
    <w:pPr>
      <w:widowControl w:val="0"/>
      <w:autoSpaceDE w:val="0"/>
      <w:autoSpaceDN w:val="0"/>
    </w:pPr>
    <w:rPr>
      <w:rFonts w:ascii="宋体" w:hAnsi="宋体" w:eastAsia="宋体" w:cs="宋体"/>
      <w:sz w:val="32"/>
      <w:szCs w:val="32"/>
      <w:lang w:val="zh-CN" w:eastAsia="zh-CN" w:bidi="zh-CN"/>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宋体" w:hAnsi="宋体" w:cs="宋体"/>
      <w:sz w:val="18"/>
      <w:szCs w:val="18"/>
    </w:rPr>
  </w:style>
  <w:style w:type="character" w:customStyle="1" w:styleId="9">
    <w:name w:val="页脚 Char"/>
    <w:basedOn w:val="7"/>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223</Words>
  <Characters>1276</Characters>
  <Lines>10</Lines>
  <Paragraphs>2</Paragraphs>
  <TotalTime>5</TotalTime>
  <ScaleCrop>false</ScaleCrop>
  <LinksUpToDate>false</LinksUpToDate>
  <CharactersWithSpaces>1497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2023-06-05T15:43:00Z</dcterms:created>
  <dc:creator>峰回路转</dc:creator>
  <cp:lastModifiedBy>user</cp:lastModifiedBy>
  <dcterms:modified xsi:type="dcterms:W3CDTF">2024-09-02T11:50:17Z</dcterms:modified>
  <dc:title>附件：1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394739DCCA1743078B514E4F18F45638_11</vt:lpwstr>
  </property>
</Properties>
</file>