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rPr>
          <w:rFonts w:hint="eastAsia" w:ascii="方正小标宋简体" w:hAnsi="方正小标宋简体" w:eastAsia="方正小标宋简体" w:cs="方正小标宋简体"/>
          <w:b w:val="0"/>
          <w:bCs w:val="0"/>
          <w:sz w:val="30"/>
          <w:szCs w:val="30"/>
          <w:lang w:eastAsia="zh-CN"/>
        </w:rPr>
      </w:pPr>
      <w:r>
        <w:rPr>
          <w:rFonts w:hint="eastAsia"/>
          <w:b w:val="0"/>
          <w:bCs w:val="0"/>
          <w:sz w:val="30"/>
          <w:szCs w:val="30"/>
        </w:rPr>
        <w:t>《乐山市</w:t>
      </w:r>
      <w:r>
        <w:rPr>
          <w:b w:val="0"/>
          <w:bCs w:val="0"/>
          <w:sz w:val="30"/>
          <w:szCs w:val="30"/>
        </w:rPr>
        <w:t>五通桥两河口历史文化街区</w:t>
      </w:r>
      <w:r>
        <w:rPr>
          <w:rFonts w:hint="eastAsia"/>
          <w:b w:val="0"/>
          <w:bCs w:val="0"/>
          <w:sz w:val="30"/>
          <w:szCs w:val="30"/>
        </w:rPr>
        <w:t>保护规划》</w:t>
      </w:r>
      <w:r>
        <w:rPr>
          <w:rFonts w:hint="eastAsia" w:ascii="方正小标宋简体" w:hAnsi="方正小标宋简体" w:eastAsia="方正小标宋简体" w:cs="方正小标宋简体"/>
          <w:b w:val="0"/>
          <w:bCs w:val="0"/>
          <w:sz w:val="30"/>
          <w:szCs w:val="30"/>
          <w:lang w:eastAsia="zh-CN"/>
        </w:rPr>
        <w:t>主要内容</w:t>
      </w:r>
    </w:p>
    <w:p>
      <w:pPr>
        <w:rPr>
          <w:rFonts w:hint="eastAsia"/>
          <w:lang w:eastAsia="zh-CN"/>
        </w:rPr>
      </w:pPr>
      <w:bookmarkStart w:id="17" w:name="_GoBack"/>
      <w:bookmarkEnd w:id="17"/>
    </w:p>
    <w:p>
      <w:pPr>
        <w:numPr>
          <w:ilvl w:val="0"/>
          <w:numId w:val="1"/>
        </w:numPr>
        <w:snapToGrid w:val="0"/>
        <w:spacing w:line="360" w:lineRule="auto"/>
        <w:contextualSpacing/>
        <w:outlineLvl w:val="2"/>
        <w:rPr>
          <w:rFonts w:ascii="黑体" w:hAnsi="黑体" w:eastAsia="黑体"/>
          <w:b/>
          <w:bCs/>
          <w:color w:val="000000"/>
          <w:sz w:val="28"/>
          <w:szCs w:val="32"/>
        </w:rPr>
      </w:pPr>
      <w:bookmarkStart w:id="0" w:name="_Toc300600422"/>
      <w:bookmarkStart w:id="1" w:name="_Toc313880101"/>
      <w:r>
        <w:rPr>
          <w:rFonts w:hint="eastAsia" w:ascii="黑体" w:hAnsi="黑体" w:eastAsia="黑体"/>
          <w:b/>
          <w:bCs/>
          <w:color w:val="000000"/>
          <w:sz w:val="28"/>
          <w:szCs w:val="32"/>
        </w:rPr>
        <w:t>规划范围</w:t>
      </w:r>
      <w:bookmarkEnd w:id="0"/>
      <w:bookmarkEnd w:id="1"/>
      <w:r>
        <w:rPr>
          <w:rFonts w:hint="eastAsia" w:ascii="黑体" w:hAnsi="黑体" w:eastAsia="黑体"/>
          <w:b/>
          <w:bCs/>
          <w:color w:val="000000"/>
          <w:sz w:val="28"/>
          <w:szCs w:val="32"/>
        </w:rPr>
        <w:t>与期限</w:t>
      </w:r>
    </w:p>
    <w:p>
      <w:pPr>
        <w:snapToGrid w:val="0"/>
        <w:spacing w:line="360" w:lineRule="auto"/>
        <w:ind w:firstLine="480" w:firstLineChars="200"/>
        <w:contextualSpacing/>
        <w:rPr>
          <w:rFonts w:ascii="宋体" w:hAnsi="宋体" w:cs="宋体"/>
          <w:color w:val="000000"/>
          <w:kern w:val="0"/>
          <w:sz w:val="24"/>
        </w:rPr>
      </w:pPr>
      <w:r>
        <w:rPr>
          <w:rFonts w:hint="eastAsia" w:ascii="宋体" w:hAnsi="宋体" w:cs="宋体"/>
          <w:color w:val="000000"/>
          <w:kern w:val="0"/>
          <w:sz w:val="24"/>
        </w:rPr>
        <w:t>规划范围：东至五犍沐快速路，西至黄角井大桥，北至新桥遗址，茫溪河、印石沟两侧至山脚下区域，总面积为46.13公顷。</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规划期限：</w:t>
      </w:r>
      <w:r>
        <w:rPr>
          <w:rFonts w:ascii="宋体" w:hAnsi="宋体" w:cs="宋体"/>
          <w:color w:val="000000"/>
          <w:kern w:val="0"/>
          <w:sz w:val="24"/>
        </w:rPr>
        <w:t>与</w:t>
      </w:r>
      <w:r>
        <w:rPr>
          <w:rFonts w:hint="eastAsia" w:ascii="宋体" w:hAnsi="宋体" w:cs="宋体"/>
          <w:color w:val="000000"/>
          <w:kern w:val="0"/>
          <w:sz w:val="24"/>
        </w:rPr>
        <w:t>《乐山</w:t>
      </w:r>
      <w:r>
        <w:rPr>
          <w:rFonts w:ascii="宋体" w:hAnsi="宋体" w:cs="宋体"/>
          <w:color w:val="000000"/>
          <w:kern w:val="0"/>
          <w:sz w:val="24"/>
        </w:rPr>
        <w:t>市历史文化名城</w:t>
      </w:r>
      <w:r>
        <w:rPr>
          <w:rFonts w:hint="eastAsia" w:ascii="宋体" w:hAnsi="宋体" w:cs="宋体"/>
          <w:color w:val="000000"/>
          <w:kern w:val="0"/>
          <w:sz w:val="24"/>
        </w:rPr>
        <w:t>保护</w:t>
      </w:r>
      <w:r>
        <w:rPr>
          <w:rFonts w:ascii="宋体" w:hAnsi="宋体" w:cs="宋体"/>
          <w:color w:val="000000"/>
          <w:kern w:val="0"/>
          <w:sz w:val="24"/>
        </w:rPr>
        <w:t>规划》一致</w:t>
      </w:r>
      <w:r>
        <w:rPr>
          <w:rFonts w:hint="eastAsia" w:ascii="宋体" w:hAnsi="宋体" w:cs="宋体"/>
          <w:color w:val="000000"/>
          <w:kern w:val="0"/>
          <w:sz w:val="24"/>
        </w:rPr>
        <w:t>，</w:t>
      </w:r>
      <w:r>
        <w:rPr>
          <w:rFonts w:ascii="宋体" w:hAnsi="宋体" w:cs="宋体"/>
          <w:color w:val="000000"/>
          <w:kern w:val="0"/>
          <w:sz w:val="24"/>
        </w:rPr>
        <w:t>至</w:t>
      </w:r>
      <w:r>
        <w:rPr>
          <w:rFonts w:hint="eastAsia" w:ascii="宋体" w:hAnsi="宋体" w:cs="宋体"/>
          <w:color w:val="000000"/>
          <w:kern w:val="0"/>
          <w:sz w:val="24"/>
        </w:rPr>
        <w:t>2030年</w:t>
      </w:r>
      <w:r>
        <w:rPr>
          <w:rFonts w:ascii="宋体" w:hAnsi="宋体" w:cs="宋体"/>
          <w:color w:val="000000"/>
          <w:kern w:val="0"/>
          <w:sz w:val="24"/>
        </w:rPr>
        <w:t>。</w:t>
      </w:r>
    </w:p>
    <w:p>
      <w:pPr>
        <w:numPr>
          <w:ilvl w:val="0"/>
          <w:numId w:val="1"/>
        </w:numPr>
        <w:snapToGrid w:val="0"/>
        <w:spacing w:line="360" w:lineRule="auto"/>
        <w:outlineLvl w:val="2"/>
        <w:rPr>
          <w:rFonts w:ascii="黑体" w:hAnsi="黑体" w:eastAsia="黑体"/>
          <w:b/>
          <w:bCs/>
          <w:color w:val="000000"/>
          <w:sz w:val="28"/>
          <w:szCs w:val="32"/>
        </w:rPr>
      </w:pPr>
      <w:r>
        <w:rPr>
          <w:rFonts w:hint="eastAsia" w:ascii="黑体" w:hAnsi="黑体" w:eastAsia="黑体"/>
          <w:b/>
          <w:bCs/>
          <w:color w:val="000000"/>
          <w:sz w:val="28"/>
          <w:szCs w:val="32"/>
        </w:rPr>
        <w:t>保护目标</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在全面保护五通桥</w:t>
      </w:r>
      <w:r>
        <w:rPr>
          <w:rFonts w:ascii="宋体" w:hAnsi="宋体" w:cs="宋体"/>
          <w:color w:val="000000"/>
          <w:kern w:val="0"/>
          <w:sz w:val="24"/>
        </w:rPr>
        <w:t>两河口</w:t>
      </w:r>
      <w:r>
        <w:rPr>
          <w:rFonts w:hint="eastAsia" w:ascii="宋体" w:hAnsi="宋体" w:cs="宋体"/>
          <w:color w:val="000000"/>
          <w:kern w:val="0"/>
          <w:sz w:val="24"/>
        </w:rPr>
        <w:t>历史文化街区的基础上，充分挖掘桥文化、盐文化、古码头文化等历史文化资源，调整片区功能结构，完善街区整体风貌，整理改善片区道路交通、基础设施、景观体系，改善生活环境，最终使街区成为风貌完整、安居乐业、活力新生、文脉延续的历史街区。</w:t>
      </w:r>
    </w:p>
    <w:p>
      <w:pPr>
        <w:numPr>
          <w:ilvl w:val="0"/>
          <w:numId w:val="1"/>
        </w:numPr>
        <w:snapToGrid w:val="0"/>
        <w:spacing w:line="360" w:lineRule="auto"/>
        <w:outlineLvl w:val="2"/>
        <w:rPr>
          <w:rFonts w:ascii="黑体" w:hAnsi="黑体" w:eastAsia="黑体"/>
          <w:b/>
          <w:bCs/>
          <w:color w:val="000000"/>
          <w:sz w:val="28"/>
          <w:szCs w:val="32"/>
        </w:rPr>
      </w:pPr>
      <w:bookmarkStart w:id="2" w:name="_Toc19791648"/>
      <w:bookmarkStart w:id="3" w:name="_Toc19204190"/>
      <w:bookmarkStart w:id="4" w:name="_Toc17969523"/>
      <w:r>
        <w:rPr>
          <w:rFonts w:hint="eastAsia" w:ascii="黑体" w:hAnsi="黑体" w:eastAsia="黑体"/>
          <w:b/>
          <w:bCs/>
          <w:color w:val="000000"/>
          <w:sz w:val="28"/>
          <w:szCs w:val="32"/>
        </w:rPr>
        <w:t>历史文化价值特色</w:t>
      </w:r>
      <w:bookmarkEnd w:id="2"/>
      <w:bookmarkEnd w:id="3"/>
      <w:bookmarkEnd w:id="4"/>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两河口历史文化街区的历史文化特色明显，风貌完整，格局完备，凝聚了以五通桥盐业文化为核心的四大历史文化——盐业文化、移民文化、书画文化、抗战文化，集中体现了五通桥文化的精髓与精神，具有极高的历史文化价值。</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1、因盐城邑的城市发展标本</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2、较为</w:t>
      </w:r>
      <w:r>
        <w:rPr>
          <w:rFonts w:ascii="宋体" w:hAnsi="宋体" w:cs="宋体"/>
          <w:color w:val="000000"/>
          <w:kern w:val="0"/>
          <w:sz w:val="24"/>
        </w:rPr>
        <w:t>完整的</w:t>
      </w:r>
      <w:r>
        <w:rPr>
          <w:rFonts w:hint="eastAsia" w:ascii="宋体" w:hAnsi="宋体" w:cs="宋体"/>
          <w:color w:val="000000"/>
          <w:kern w:val="0"/>
          <w:sz w:val="24"/>
        </w:rPr>
        <w:t>依山临水半边街风貌</w:t>
      </w:r>
    </w:p>
    <w:p>
      <w:pPr>
        <w:snapToGrid w:val="0"/>
        <w:spacing w:line="360" w:lineRule="auto"/>
        <w:ind w:firstLine="480" w:firstLineChars="200"/>
        <w:rPr>
          <w:rFonts w:ascii="宋体" w:hAns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、特色</w:t>
      </w:r>
      <w:r>
        <w:rPr>
          <w:rFonts w:ascii="宋体" w:hAnsi="宋体" w:cs="宋体"/>
          <w:color w:val="000000"/>
          <w:kern w:val="0"/>
          <w:sz w:val="24"/>
        </w:rPr>
        <w:t>突出的</w:t>
      </w:r>
      <w:r>
        <w:rPr>
          <w:rFonts w:hint="eastAsia" w:ascii="宋体" w:hAnsi="宋体" w:cs="宋体"/>
          <w:color w:val="000000"/>
          <w:kern w:val="0"/>
          <w:sz w:val="24"/>
        </w:rPr>
        <w:t>古码头群与黄葛树</w:t>
      </w:r>
    </w:p>
    <w:p>
      <w:pPr>
        <w:numPr>
          <w:ilvl w:val="0"/>
          <w:numId w:val="1"/>
        </w:numPr>
        <w:snapToGrid w:val="0"/>
        <w:spacing w:line="360" w:lineRule="auto"/>
        <w:outlineLvl w:val="2"/>
        <w:rPr>
          <w:rFonts w:ascii="黑体" w:hAnsi="黑体" w:eastAsia="黑体"/>
          <w:b/>
          <w:bCs/>
          <w:color w:val="000000"/>
          <w:sz w:val="28"/>
          <w:szCs w:val="32"/>
        </w:rPr>
      </w:pPr>
      <w:bookmarkStart w:id="5" w:name="_Toc17969526"/>
      <w:bookmarkStart w:id="6" w:name="_Toc19204192"/>
      <w:bookmarkStart w:id="7" w:name="_Toc19791650"/>
      <w:r>
        <w:rPr>
          <w:rFonts w:hint="eastAsia" w:ascii="黑体" w:hAnsi="黑体" w:eastAsia="黑体"/>
          <w:b/>
          <w:bCs/>
          <w:color w:val="000000"/>
          <w:sz w:val="28"/>
          <w:szCs w:val="32"/>
        </w:rPr>
        <w:t>保护范围</w:t>
      </w:r>
      <w:bookmarkEnd w:id="5"/>
      <w:bookmarkEnd w:id="6"/>
      <w:bookmarkEnd w:id="7"/>
      <w:r>
        <w:rPr>
          <w:rFonts w:hint="eastAsia" w:ascii="黑体" w:hAnsi="黑体" w:eastAsia="黑体"/>
          <w:b/>
          <w:bCs/>
          <w:color w:val="000000"/>
          <w:sz w:val="28"/>
          <w:szCs w:val="32"/>
        </w:rPr>
        <w:t>与</w:t>
      </w:r>
      <w:r>
        <w:rPr>
          <w:rFonts w:ascii="黑体" w:hAnsi="黑体" w:eastAsia="黑体"/>
          <w:b/>
          <w:bCs/>
          <w:color w:val="000000"/>
          <w:sz w:val="28"/>
          <w:szCs w:val="32"/>
        </w:rPr>
        <w:t>保护</w:t>
      </w:r>
      <w:r>
        <w:rPr>
          <w:rFonts w:hint="eastAsia" w:ascii="黑体" w:hAnsi="黑体" w:eastAsia="黑体"/>
          <w:b/>
          <w:bCs/>
          <w:color w:val="000000"/>
          <w:sz w:val="28"/>
          <w:szCs w:val="32"/>
        </w:rPr>
        <w:t>控制</w:t>
      </w:r>
      <w:r>
        <w:rPr>
          <w:rFonts w:ascii="黑体" w:hAnsi="黑体" w:eastAsia="黑体"/>
          <w:b/>
          <w:bCs/>
          <w:color w:val="000000"/>
          <w:sz w:val="28"/>
          <w:szCs w:val="32"/>
        </w:rPr>
        <w:t>要求</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1、保护范围</w:t>
      </w:r>
    </w:p>
    <w:p>
      <w:pPr>
        <w:snapToGrid w:val="0"/>
        <w:spacing w:line="360" w:lineRule="auto"/>
        <w:ind w:firstLine="482" w:firstLineChars="200"/>
        <w:rPr>
          <w:rFonts w:ascii="宋体" w:hAnsi="宋体" w:cs="宋体"/>
          <w:color w:val="000000"/>
          <w:kern w:val="0"/>
          <w:sz w:val="24"/>
        </w:rPr>
      </w:pPr>
      <w:r>
        <w:rPr>
          <w:rFonts w:hint="eastAsia" w:ascii="宋体" w:hAnsi="宋体" w:cs="宋体"/>
          <w:b/>
          <w:color w:val="000000"/>
          <w:kern w:val="0"/>
          <w:sz w:val="24"/>
        </w:rPr>
        <w:t>核心保护范围：</w:t>
      </w:r>
      <w:r>
        <w:rPr>
          <w:rFonts w:hint="eastAsia" w:ascii="宋体" w:hAnsi="宋体" w:cs="宋体"/>
          <w:color w:val="000000"/>
          <w:kern w:val="0"/>
          <w:sz w:val="24"/>
        </w:rPr>
        <w:t>将文物与传统风貌建筑集中成片、空间格局和历史风貌相对较完整地体现五通桥盐文化的两个片区划定为核心保护范围，面积共为</w:t>
      </w:r>
      <w:r>
        <w:rPr>
          <w:rFonts w:ascii="宋体" w:hAnsi="宋体" w:cs="宋体"/>
          <w:color w:val="000000"/>
          <w:kern w:val="0"/>
          <w:sz w:val="24"/>
        </w:rPr>
        <w:t>5.61</w:t>
      </w:r>
      <w:r>
        <w:rPr>
          <w:rFonts w:hint="eastAsia" w:ascii="宋体" w:hAnsi="宋体" w:cs="宋体"/>
          <w:color w:val="000000"/>
          <w:kern w:val="0"/>
          <w:sz w:val="24"/>
        </w:rPr>
        <w:t>公顷，其中西片区包括花盐街锁龙巷至庙儿坝一段，北至滨河码头及堤岸，面积为3.01公顷；东片区为两河口桥至五通老桥传统风貌建筑集中地段，面积为2.</w:t>
      </w:r>
      <w:r>
        <w:rPr>
          <w:rFonts w:ascii="宋体" w:hAnsi="宋体" w:cs="宋体"/>
          <w:color w:val="000000"/>
          <w:kern w:val="0"/>
          <w:sz w:val="24"/>
        </w:rPr>
        <w:t>60</w:t>
      </w:r>
      <w:r>
        <w:rPr>
          <w:rFonts w:hint="eastAsia" w:ascii="宋体" w:hAnsi="宋体" w:cs="宋体"/>
          <w:color w:val="000000"/>
          <w:kern w:val="0"/>
          <w:sz w:val="24"/>
        </w:rPr>
        <w:t>公顷。</w:t>
      </w:r>
    </w:p>
    <w:p>
      <w:pPr>
        <w:snapToGrid w:val="0"/>
        <w:spacing w:line="360" w:lineRule="auto"/>
        <w:ind w:firstLine="482" w:firstLineChars="200"/>
        <w:rPr>
          <w:rFonts w:ascii="宋体" w:hAnsi="宋体" w:cs="宋体"/>
          <w:color w:val="000000"/>
          <w:kern w:val="0"/>
          <w:sz w:val="24"/>
        </w:rPr>
      </w:pPr>
      <w:r>
        <w:rPr>
          <w:rFonts w:hint="eastAsia" w:ascii="宋体" w:hAnsi="宋体" w:cs="宋体"/>
          <w:b/>
          <w:color w:val="000000"/>
          <w:kern w:val="0"/>
          <w:sz w:val="24"/>
        </w:rPr>
        <w:t>建设控制地带：</w:t>
      </w:r>
      <w:r>
        <w:rPr>
          <w:rFonts w:hint="eastAsia" w:ascii="宋体" w:hAnsi="宋体" w:cs="宋体"/>
          <w:color w:val="000000"/>
          <w:kern w:val="0"/>
          <w:sz w:val="24"/>
        </w:rPr>
        <w:t>划定核心保护范围以外北至新桥遗址，东至五犍沐快速路，西至黄角井大桥的茫溪河、印石沟及其两侧至山脚下的区域为建设控制地带。面积为40.</w:t>
      </w:r>
      <w:r>
        <w:rPr>
          <w:rFonts w:ascii="宋体" w:hAnsi="宋体" w:cs="宋体"/>
          <w:color w:val="000000"/>
          <w:kern w:val="0"/>
          <w:sz w:val="24"/>
        </w:rPr>
        <w:t>52</w:t>
      </w:r>
      <w:r>
        <w:rPr>
          <w:rFonts w:hint="eastAsia" w:ascii="宋体" w:hAnsi="宋体" w:cs="宋体"/>
          <w:color w:val="000000"/>
          <w:kern w:val="0"/>
          <w:sz w:val="24"/>
        </w:rPr>
        <w:t>公顷。</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w:t>
      </w:r>
      <w:r>
        <w:rPr>
          <w:rFonts w:ascii="宋体" w:hAnsi="宋体" w:cs="宋体"/>
          <w:color w:val="000000"/>
          <w:kern w:val="0"/>
          <w:sz w:val="24"/>
        </w:rPr>
        <w:t>保护要求</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（1）核心保护范围的保护要求</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核心保护范围内应保护和恢复传统街巷的格局、尺度、界面、地面铺装等，梳理完善街巷网络，保护传统街巷的历史名称；保护修缮以文物与历史建筑为主的重点建筑及院落，恢复重建五通庙等重要历史文化建筑；保护和修复传统风貌建筑原有空间形式、建筑格局及风貌；保护修缮码头及堤岸，保护河岸黄角树等历史环境要素。</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核心保护范围内建筑高度、体量、外观形象及色彩、材料等均应按照传统风貌建筑进行控制，建筑色彩应取黑、白、灰、青及浅褐色、原木色等传统风貌建筑色彩加以统一控制，建筑形式采用青瓦坡屋顶、穿斗式木结构或是民国中西合璧建筑风格，建筑细部必须严格参考五通桥地区传统民居特色细部做法执行。建筑高度控制不超过2层，檐口限高7米，局部</w:t>
      </w:r>
      <w:r>
        <w:rPr>
          <w:rFonts w:ascii="宋体" w:hAnsi="宋体" w:cs="宋体"/>
          <w:color w:val="000000"/>
          <w:kern w:val="0"/>
          <w:sz w:val="24"/>
        </w:rPr>
        <w:t>地标建筑如宫庙建筑</w:t>
      </w:r>
      <w:r>
        <w:rPr>
          <w:rFonts w:hint="eastAsia" w:ascii="宋体" w:hAnsi="宋体" w:cs="宋体"/>
          <w:color w:val="000000"/>
          <w:kern w:val="0"/>
          <w:sz w:val="24"/>
        </w:rPr>
        <w:t>高度</w:t>
      </w:r>
      <w:r>
        <w:rPr>
          <w:rFonts w:ascii="宋体" w:hAnsi="宋体" w:cs="宋体"/>
          <w:color w:val="000000"/>
          <w:kern w:val="0"/>
          <w:sz w:val="24"/>
        </w:rPr>
        <w:t>可突破</w:t>
      </w:r>
      <w:r>
        <w:rPr>
          <w:rFonts w:hint="eastAsia" w:ascii="宋体" w:hAnsi="宋体" w:cs="宋体"/>
          <w:color w:val="000000"/>
          <w:kern w:val="0"/>
          <w:sz w:val="24"/>
        </w:rPr>
        <w:t>，其建筑高度控制应组织专家专门论证。</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核心保护范围内各项建设项目必须按照保护规划执行并经过市人民政府确定的历史文化名城主管部门审定批准，较大的建筑活动和环境变化应由规划主管部门组织专家评审会通过方可执行。</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应在经批准公布的历史文化街区各主要出入口设置公告标志牌。</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（2）建设控制地带的控制要求</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建设控制地带内应保护两河口历史街区的历史格局和风貌；保护修缮文物及历史建筑，恢复重建陕西会馆等重要历史文化建筑；保护和修复传统风貌建筑；保护修缮码头及堤岸，保护河岸黄角树等历史环境要素。</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建设控制地带内需新、改、扩建的建筑应在建筑高度、体量、饰面材料以及建筑色彩、尺度、比例上与传统建筑风貌协调，以取得与核心保护范围之间合理的空间过渡。严格控制建筑高度，建筑高度控制不超过3层，檐口限高10米。建筑形式在不破坏街区风貌的前提下，可适当放宽。</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该范围内的一切建设活动均应经市人民政府确定的历史文化名城主管部门批准、审核后方能进行，较大的建筑活动和环境变化应进行专家论证</w:t>
      </w:r>
      <w:r>
        <w:rPr>
          <w:rFonts w:ascii="宋体" w:hAnsi="宋体" w:cs="宋体"/>
          <w:color w:val="000000"/>
          <w:kern w:val="0"/>
          <w:sz w:val="24"/>
        </w:rPr>
        <w:t>。</w:t>
      </w:r>
    </w:p>
    <w:p>
      <w:pPr>
        <w:numPr>
          <w:ilvl w:val="0"/>
          <w:numId w:val="1"/>
        </w:numPr>
        <w:snapToGrid w:val="0"/>
        <w:spacing w:line="360" w:lineRule="auto"/>
        <w:outlineLvl w:val="2"/>
        <w:rPr>
          <w:rFonts w:ascii="黑体" w:hAnsi="黑体" w:eastAsia="黑体"/>
          <w:b/>
          <w:bCs/>
          <w:color w:val="000000"/>
          <w:sz w:val="28"/>
          <w:szCs w:val="32"/>
        </w:rPr>
      </w:pPr>
      <w:r>
        <w:rPr>
          <w:rFonts w:hint="eastAsia" w:ascii="黑体" w:hAnsi="黑体" w:eastAsia="黑体"/>
          <w:b/>
          <w:bCs/>
          <w:color w:val="000000"/>
          <w:sz w:val="28"/>
          <w:szCs w:val="32"/>
        </w:rPr>
        <w:t>保护内容</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1、整体</w:t>
      </w:r>
      <w:r>
        <w:rPr>
          <w:rFonts w:ascii="宋体" w:hAnsi="宋体" w:cs="宋体"/>
          <w:color w:val="000000"/>
          <w:kern w:val="0"/>
          <w:sz w:val="24"/>
        </w:rPr>
        <w:t>风貌保护</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保护街区依山临水半边街，“山、水、树、镇” 一体的整体风貌特征。保护街区</w:t>
      </w:r>
      <w:r>
        <w:rPr>
          <w:rFonts w:ascii="宋体" w:hAnsi="宋体" w:cs="宋体"/>
          <w:color w:val="000000"/>
          <w:kern w:val="0"/>
          <w:sz w:val="24"/>
        </w:rPr>
        <w:t>传统风貌建筑</w:t>
      </w:r>
      <w:r>
        <w:rPr>
          <w:rFonts w:hint="eastAsia" w:ascii="宋体" w:hAnsi="宋体" w:cs="宋体"/>
          <w:color w:val="000000"/>
          <w:kern w:val="0"/>
          <w:sz w:val="24"/>
        </w:rPr>
        <w:t>形式</w:t>
      </w:r>
      <w:r>
        <w:rPr>
          <w:rFonts w:ascii="宋体" w:hAnsi="宋体" w:cs="宋体"/>
          <w:color w:val="000000"/>
          <w:kern w:val="0"/>
          <w:sz w:val="24"/>
        </w:rPr>
        <w:t>特色</w:t>
      </w:r>
      <w:r>
        <w:rPr>
          <w:rFonts w:hint="eastAsia" w:ascii="宋体" w:hAnsi="宋体" w:cs="宋体"/>
          <w:color w:val="000000"/>
          <w:kern w:val="0"/>
          <w:sz w:val="24"/>
        </w:rPr>
        <w:t>。</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严格控制</w:t>
      </w:r>
      <w:r>
        <w:rPr>
          <w:rFonts w:ascii="宋体" w:hAnsi="宋体" w:cs="宋体"/>
          <w:color w:val="000000"/>
          <w:kern w:val="0"/>
          <w:sz w:val="24"/>
        </w:rPr>
        <w:t>街区高度</w:t>
      </w:r>
      <w:r>
        <w:rPr>
          <w:rFonts w:hint="eastAsia" w:ascii="宋体" w:hAnsi="宋体" w:cs="宋体"/>
          <w:color w:val="000000"/>
          <w:kern w:val="0"/>
          <w:sz w:val="24"/>
        </w:rPr>
        <w:t>，核心保护范围内建筑高度控制为2 层，建筑檐口高度不大于7米，局部</w:t>
      </w:r>
      <w:r>
        <w:rPr>
          <w:rFonts w:ascii="宋体" w:hAnsi="宋体" w:cs="宋体"/>
          <w:color w:val="000000"/>
          <w:kern w:val="0"/>
          <w:sz w:val="24"/>
        </w:rPr>
        <w:t>地标建筑如宫庙建筑</w:t>
      </w:r>
      <w:r>
        <w:rPr>
          <w:rFonts w:hint="eastAsia" w:ascii="宋体" w:hAnsi="宋体" w:cs="宋体"/>
          <w:color w:val="000000"/>
          <w:kern w:val="0"/>
          <w:sz w:val="24"/>
        </w:rPr>
        <w:t>高度</w:t>
      </w:r>
      <w:r>
        <w:rPr>
          <w:rFonts w:ascii="宋体" w:hAnsi="宋体" w:cs="宋体"/>
          <w:color w:val="000000"/>
          <w:kern w:val="0"/>
          <w:sz w:val="24"/>
        </w:rPr>
        <w:t>可突破</w:t>
      </w:r>
      <w:r>
        <w:rPr>
          <w:rFonts w:hint="eastAsia" w:ascii="宋体" w:hAnsi="宋体" w:cs="宋体"/>
          <w:color w:val="000000"/>
          <w:kern w:val="0"/>
          <w:sz w:val="24"/>
        </w:rPr>
        <w:t>，其建筑高度控制应组织专家专门论证；街区建设控制地带内一般区域建筑不超过3层，建筑檐口高度不大于10 米；其中重合区域按严格标准执行。</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2、空间</w:t>
      </w:r>
      <w:r>
        <w:rPr>
          <w:rFonts w:ascii="宋体" w:hAnsi="宋体" w:cs="宋体"/>
          <w:color w:val="000000"/>
          <w:kern w:val="0"/>
          <w:sz w:val="24"/>
        </w:rPr>
        <w:t>格局保护</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（1）保护自然山水格局——一河一沟两岸山。</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（2）保护依山临水半边街的空间格局——六街十巷五广场 、八桥卌码头百古树。</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（3）保护</w:t>
      </w:r>
      <w:r>
        <w:rPr>
          <w:rFonts w:ascii="宋体" w:hAnsi="宋体" w:cs="宋体"/>
          <w:color w:val="000000"/>
          <w:kern w:val="0"/>
          <w:sz w:val="24"/>
        </w:rPr>
        <w:t>其他重要空间格局</w:t>
      </w:r>
      <w:r>
        <w:rPr>
          <w:rFonts w:hint="eastAsia" w:ascii="宋体" w:hAnsi="宋体" w:cs="宋体"/>
          <w:color w:val="000000"/>
          <w:kern w:val="0"/>
          <w:sz w:val="24"/>
        </w:rPr>
        <w:t>——三宫两庙一盐署。</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3、传统街巷</w:t>
      </w:r>
      <w:r>
        <w:rPr>
          <w:rFonts w:ascii="宋体" w:hAnsi="宋体" w:cs="宋体"/>
          <w:color w:val="000000"/>
          <w:kern w:val="0"/>
          <w:sz w:val="24"/>
        </w:rPr>
        <w:t>保护</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保护</w:t>
      </w:r>
      <w:r>
        <w:rPr>
          <w:rFonts w:ascii="宋体" w:hAnsi="宋体" w:cs="宋体"/>
          <w:color w:val="000000"/>
          <w:kern w:val="0"/>
          <w:sz w:val="24"/>
        </w:rPr>
        <w:t>六街十巷和五处开敞空间。</w:t>
      </w:r>
      <w:r>
        <w:rPr>
          <w:rFonts w:hint="eastAsia" w:ascii="宋体" w:hAnsi="宋体" w:cs="宋体"/>
          <w:color w:val="000000"/>
          <w:kern w:val="0"/>
          <w:sz w:val="24"/>
        </w:rPr>
        <w:t>保护</w:t>
      </w:r>
      <w:r>
        <w:rPr>
          <w:rFonts w:ascii="宋体" w:hAnsi="宋体" w:cs="宋体"/>
          <w:color w:val="000000"/>
          <w:kern w:val="0"/>
          <w:sz w:val="24"/>
        </w:rPr>
        <w:t>街巷格局、尺度、界面</w:t>
      </w:r>
      <w:r>
        <w:rPr>
          <w:rFonts w:hint="eastAsia" w:ascii="宋体" w:hAnsi="宋体" w:cs="宋体"/>
          <w:color w:val="000000"/>
          <w:kern w:val="0"/>
          <w:sz w:val="24"/>
        </w:rPr>
        <w:t>、铺装</w:t>
      </w:r>
      <w:r>
        <w:rPr>
          <w:rFonts w:ascii="宋体" w:hAnsi="宋体" w:cs="宋体"/>
          <w:color w:val="000000"/>
          <w:kern w:val="0"/>
          <w:sz w:val="24"/>
        </w:rPr>
        <w:t>和巷名文化。</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六街：黄角井街（工农街）、宝庆街（工农街）、花盐街、竹子街（群力街）、新发街（群力街）、新桥街（国道2</w:t>
      </w:r>
      <w:r>
        <w:rPr>
          <w:rFonts w:ascii="宋体" w:hAnsi="宋体" w:cs="宋体"/>
          <w:color w:val="000000"/>
          <w:kern w:val="0"/>
          <w:sz w:val="24"/>
        </w:rPr>
        <w:t>13</w:t>
      </w:r>
      <w:r>
        <w:rPr>
          <w:rFonts w:hint="eastAsia" w:ascii="宋体" w:hAnsi="宋体" w:cs="宋体"/>
          <w:color w:val="000000"/>
          <w:kern w:val="0"/>
          <w:sz w:val="24"/>
        </w:rPr>
        <w:t>两河口桥以北）。</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十巷：花盐街门楼巷、虹桥巷、水井巷、锁龙巷、明道院巷、扦子门巷、庙儿坝斜巷子、庙儿沟巷、庙儿坝梯巷；宝庆街大石包巷。</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五处开敞空间：黄葛树王广场、慈恩寺前广场、祠堂湾转角开敞空间、庙儿坝开敞空间、五通老桥头开敞空间。</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4、</w:t>
      </w:r>
      <w:r>
        <w:rPr>
          <w:rFonts w:ascii="宋体" w:hAnsi="宋体" w:cs="宋体"/>
          <w:color w:val="000000"/>
          <w:kern w:val="0"/>
          <w:sz w:val="24"/>
        </w:rPr>
        <w:t>文物保护单位保护</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保护五通老桥、花花桥2处市级文物保护单位；同时将42处盐码头打包申报市级文物保护单位。依法划定保护范围和建设控制地带，</w:t>
      </w:r>
      <w:r>
        <w:rPr>
          <w:rFonts w:ascii="宋体" w:hAnsi="宋体" w:cs="宋体"/>
          <w:color w:val="000000"/>
          <w:kern w:val="0"/>
          <w:sz w:val="24"/>
        </w:rPr>
        <w:t>严格遵照</w:t>
      </w:r>
      <w:r>
        <w:rPr>
          <w:rFonts w:hint="eastAsia" w:ascii="宋体" w:hAnsi="宋体" w:cs="宋体"/>
          <w:color w:val="000000"/>
          <w:kern w:val="0"/>
          <w:sz w:val="24"/>
        </w:rPr>
        <w:t>《中华人民共和国文物保护法》及《中华人民共和国文物保护法实施条例》的要求进行严格保护。</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5、登记不可移动文物保护</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保护17处登记不可移动文物。已登记的不可移动文物，要建立完善保护档案，依照《中华人民共和国文物保护法》及《中华人民共和国文物保护法实施条例》等法律、法规执行保护。</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6、历史</w:t>
      </w:r>
      <w:r>
        <w:rPr>
          <w:rFonts w:ascii="宋体" w:hAnsi="宋体" w:cs="宋体"/>
          <w:color w:val="000000"/>
          <w:kern w:val="0"/>
          <w:sz w:val="24"/>
        </w:rPr>
        <w:t>建筑保护</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保护21处历史建筑。按照历史建筑的院墙界线划定其保护范围。对历史建筑的保护与管理按照《历史文化名城名镇名村保护条例》、《城市紫线管理办法》等有关法规执行。</w:t>
      </w:r>
    </w:p>
    <w:p>
      <w:pPr>
        <w:snapToGrid w:val="0"/>
        <w:spacing w:line="360" w:lineRule="auto"/>
        <w:ind w:firstLine="480" w:firstLineChars="200"/>
        <w:rPr>
          <w:rFonts w:ascii="宋体" w:hAnsi="宋体" w:cs="宋体"/>
          <w:color w:val="000000"/>
          <w:kern w:val="0"/>
          <w:sz w:val="24"/>
        </w:rPr>
      </w:pPr>
      <w:r>
        <w:rPr>
          <w:rFonts w:ascii="宋体" w:hAnsi="宋体" w:cs="宋体"/>
          <w:color w:val="000000"/>
          <w:kern w:val="0"/>
          <w:sz w:val="24"/>
        </w:rPr>
        <w:t>7</w:t>
      </w:r>
      <w:r>
        <w:rPr>
          <w:rFonts w:hint="eastAsia" w:ascii="宋体" w:hAnsi="宋体" w:cs="宋体"/>
          <w:color w:val="000000"/>
          <w:kern w:val="0"/>
          <w:sz w:val="24"/>
        </w:rPr>
        <w:t>、</w:t>
      </w:r>
      <w:r>
        <w:rPr>
          <w:rFonts w:ascii="宋体" w:hAnsi="宋体" w:cs="宋体"/>
          <w:color w:val="000000"/>
          <w:kern w:val="0"/>
          <w:sz w:val="24"/>
        </w:rPr>
        <w:t>传统风貌建筑保护</w:t>
      </w:r>
    </w:p>
    <w:p>
      <w:pPr>
        <w:adjustRightInd w:val="0"/>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保护187处传统风貌建筑。</w:t>
      </w:r>
      <w:r>
        <w:rPr>
          <w:rFonts w:hint="eastAsia" w:ascii="宋体" w:hAnsi="宋体"/>
          <w:color w:val="000000"/>
          <w:sz w:val="24"/>
        </w:rPr>
        <w:t>保护传统风貌建筑的传统院落格局，风貌较好传统风貌建筑，在不改变外观特征的基础上，进行加固维修和调整、完善内部布局及设施。风貌局部破坏的传</w:t>
      </w:r>
      <w:r>
        <w:rPr>
          <w:rFonts w:hint="eastAsia"/>
          <w:color w:val="000000"/>
          <w:sz w:val="24"/>
        </w:rPr>
        <w:t>统风貌建筑，保护性复原传统风貌建筑，同时对建筑进行加固维修，调整、完善内部布局及设施。</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8、历史</w:t>
      </w:r>
      <w:r>
        <w:rPr>
          <w:rFonts w:ascii="宋体" w:hAnsi="宋体" w:cs="宋体"/>
          <w:color w:val="000000"/>
          <w:kern w:val="0"/>
          <w:sz w:val="24"/>
        </w:rPr>
        <w:t>环境要素保护</w:t>
      </w:r>
    </w:p>
    <w:p>
      <w:pPr>
        <w:adjustRightInd w:val="0"/>
        <w:snapToGrid w:val="0"/>
        <w:spacing w:line="360" w:lineRule="auto"/>
        <w:ind w:firstLine="480" w:firstLineChars="200"/>
        <w:jc w:val="left"/>
        <w:rPr>
          <w:rFonts w:ascii="宋体" w:hAnsi="宋体"/>
          <w:color w:val="000000"/>
          <w:sz w:val="24"/>
        </w:rPr>
      </w:pPr>
      <w:r>
        <w:rPr>
          <w:rFonts w:hint="eastAsia" w:ascii="宋体" w:hAnsi="宋体"/>
          <w:color w:val="000000"/>
          <w:sz w:val="24"/>
        </w:rPr>
        <w:t>保护街区内42处古码头，打包申报市级文物保护单位。保护挂牌</w:t>
      </w:r>
      <w:r>
        <w:rPr>
          <w:rFonts w:ascii="宋体" w:hAnsi="宋体"/>
          <w:color w:val="000000"/>
          <w:sz w:val="24"/>
        </w:rPr>
        <w:t>56</w:t>
      </w:r>
      <w:r>
        <w:rPr>
          <w:rFonts w:hint="eastAsia" w:ascii="宋体" w:hAnsi="宋体"/>
          <w:color w:val="000000"/>
          <w:sz w:val="24"/>
        </w:rPr>
        <w:t>颗古树名木及茫溪河、印石沟沿岸的黄葛树。保护茫溪河和印石沟两岸的堤岸、5处民国时期特色门楼、多处民国时期青砖院墙、3处古井、1处防空洞、多处</w:t>
      </w:r>
      <w:r>
        <w:rPr>
          <w:rFonts w:ascii="宋体" w:hAnsi="宋体"/>
          <w:color w:val="000000"/>
          <w:sz w:val="24"/>
        </w:rPr>
        <w:t>山地巷子青石台阶</w:t>
      </w:r>
      <w:r>
        <w:rPr>
          <w:rFonts w:hint="eastAsia" w:ascii="宋体" w:hAnsi="宋体"/>
          <w:color w:val="000000"/>
          <w:sz w:val="24"/>
        </w:rPr>
        <w:t>。</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9、传统文化</w:t>
      </w:r>
      <w:r>
        <w:rPr>
          <w:rFonts w:ascii="宋体" w:hAnsi="宋体" w:cs="宋体"/>
          <w:color w:val="000000"/>
          <w:kern w:val="0"/>
          <w:sz w:val="24"/>
        </w:rPr>
        <w:t>与非物质文化遗产保护</w:t>
      </w:r>
    </w:p>
    <w:p>
      <w:pPr>
        <w:snapToGrid w:val="0"/>
        <w:spacing w:line="360" w:lineRule="auto"/>
        <w:ind w:firstLine="480" w:firstLineChars="200"/>
        <w:rPr>
          <w:rFonts w:ascii="宋体" w:hAnsi="宋体" w:cs="宋体"/>
          <w:color w:val="000000"/>
          <w:kern w:val="0"/>
          <w:sz w:val="24"/>
        </w:rPr>
      </w:pPr>
      <w:r>
        <w:rPr>
          <w:rFonts w:hint="eastAsia" w:ascii="宋体" w:hAnsi="宋体"/>
          <w:color w:val="000000"/>
          <w:sz w:val="24"/>
        </w:rPr>
        <w:t>重点保护和传承非物质文化遗产五通桥龙舟竞技及“贰柒拾”竞技，以及其他相关传统体育和游艺 、传统节庆民俗、传统技艺及众多历史人物等优秀传统文化。</w:t>
      </w:r>
    </w:p>
    <w:p>
      <w:pPr>
        <w:numPr>
          <w:ilvl w:val="0"/>
          <w:numId w:val="1"/>
        </w:numPr>
        <w:snapToGrid w:val="0"/>
        <w:spacing w:line="360" w:lineRule="auto"/>
        <w:outlineLvl w:val="2"/>
        <w:rPr>
          <w:rFonts w:ascii="黑体" w:hAnsi="黑体" w:eastAsia="黑体"/>
          <w:b/>
          <w:bCs/>
          <w:color w:val="000000"/>
          <w:sz w:val="28"/>
          <w:szCs w:val="32"/>
        </w:rPr>
      </w:pPr>
      <w:bookmarkStart w:id="8" w:name="_Toc17969533"/>
      <w:bookmarkStart w:id="9" w:name="_Toc19204195"/>
      <w:bookmarkStart w:id="10" w:name="_Toc19791653"/>
      <w:r>
        <w:rPr>
          <w:rFonts w:hint="eastAsia" w:ascii="黑体" w:hAnsi="黑体" w:eastAsia="黑体"/>
          <w:b/>
          <w:bCs/>
          <w:color w:val="000000"/>
          <w:sz w:val="28"/>
          <w:szCs w:val="32"/>
        </w:rPr>
        <w:t>功能定位与用地调整</w:t>
      </w:r>
      <w:bookmarkEnd w:id="8"/>
      <w:bookmarkEnd w:id="9"/>
      <w:bookmarkEnd w:id="10"/>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1、功能定位</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 xml:space="preserve">以盐业文化为核心内涵的文化展示体验、创意、古镇旅游休闲观光和原生态生活居住为主要功能的历史文化街区，乐山国际旅游目的地的新亮点。 </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2、功能</w:t>
      </w:r>
      <w:r>
        <w:rPr>
          <w:rFonts w:ascii="宋体" w:hAnsi="宋体" w:cs="宋体"/>
          <w:color w:val="000000"/>
          <w:kern w:val="0"/>
          <w:sz w:val="24"/>
        </w:rPr>
        <w:t>结构</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规划形成“一廊两带多片多点”的功能结构。</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一廊：茫溪河盐码头文化体验风光走廊。</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两带：宝庆街滨河休闲带、花盐街滨河商业休闲带。</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多片：沿茫溪河左岸形成花盐印象区、旅游服务区、民俗文化展示区、盐商文化体验区、特色山居民宿区、市井生活体验区、传统民居特色民宿区、乡野闲居传统生活区，茫溪河右岸规划形成文化创意区、画家村艺术家试验区及多个传统生活区。</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多点：规划形成五通老桥、陕西会馆（盐文化博物馆）、黄葛树王 、慈恩寺核心节点和多个其他节点。</w:t>
      </w:r>
    </w:p>
    <w:p>
      <w:pPr>
        <w:numPr>
          <w:ilvl w:val="0"/>
          <w:numId w:val="1"/>
        </w:numPr>
        <w:snapToGrid w:val="0"/>
        <w:spacing w:line="360" w:lineRule="auto"/>
        <w:outlineLvl w:val="2"/>
        <w:rPr>
          <w:rFonts w:ascii="黑体" w:hAnsi="黑体" w:eastAsia="黑体"/>
          <w:b/>
          <w:bCs/>
          <w:color w:val="000000"/>
          <w:sz w:val="28"/>
          <w:szCs w:val="32"/>
        </w:rPr>
      </w:pPr>
      <w:bookmarkStart w:id="11" w:name="_Toc17969555"/>
      <w:bookmarkStart w:id="12" w:name="_Toc19204208"/>
      <w:bookmarkStart w:id="13" w:name="_Toc19791666"/>
      <w:r>
        <w:rPr>
          <w:rFonts w:hint="eastAsia" w:ascii="黑体" w:hAnsi="黑体" w:eastAsia="黑体"/>
          <w:b/>
          <w:bCs/>
          <w:color w:val="000000"/>
          <w:sz w:val="28"/>
          <w:szCs w:val="32"/>
        </w:rPr>
        <w:t>展示利用规划</w:t>
      </w:r>
      <w:bookmarkEnd w:id="11"/>
      <w:bookmarkEnd w:id="12"/>
      <w:bookmarkEnd w:id="13"/>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展示利用项目</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包括龙舟竞技、“贰柒拾”竞技、美食传统技艺如五通桥鸡血旺</w:t>
      </w:r>
      <w:r>
        <w:rPr>
          <w:rFonts w:ascii="宋体" w:hAnsi="宋体" w:cs="宋体"/>
          <w:color w:val="000000"/>
          <w:kern w:val="0"/>
          <w:sz w:val="24"/>
        </w:rPr>
        <w:t>汤、黄</w:t>
      </w:r>
      <w:r>
        <w:rPr>
          <w:rFonts w:hint="eastAsia" w:ascii="宋体" w:hAnsi="宋体" w:cs="宋体"/>
          <w:color w:val="000000"/>
          <w:kern w:val="0"/>
          <w:sz w:val="24"/>
        </w:rPr>
        <w:t>鸡肉</w:t>
      </w:r>
      <w:r>
        <w:rPr>
          <w:rFonts w:ascii="宋体" w:hAnsi="宋体" w:cs="宋体"/>
          <w:color w:val="000000"/>
          <w:kern w:val="0"/>
          <w:sz w:val="24"/>
        </w:rPr>
        <w:t>制作技艺</w:t>
      </w:r>
      <w:r>
        <w:rPr>
          <w:rFonts w:hint="eastAsia" w:ascii="宋体" w:hAnsi="宋体" w:cs="宋体"/>
          <w:color w:val="000000"/>
          <w:kern w:val="0"/>
          <w:sz w:val="24"/>
        </w:rPr>
        <w:t>等</w:t>
      </w:r>
      <w:r>
        <w:rPr>
          <w:rFonts w:ascii="宋体" w:hAnsi="宋体" w:cs="宋体"/>
          <w:color w:val="000000"/>
          <w:kern w:val="0"/>
          <w:sz w:val="24"/>
        </w:rPr>
        <w:t>非物质文化遗产</w:t>
      </w:r>
      <w:r>
        <w:rPr>
          <w:rFonts w:hint="eastAsia" w:ascii="宋体" w:hAnsi="宋体" w:cs="宋体"/>
          <w:color w:val="000000"/>
          <w:kern w:val="0"/>
          <w:sz w:val="24"/>
        </w:rPr>
        <w:t>，以及街区自身独具特色的盐文化、书画文化、民俗文化、移民文化及传统居住文化等。</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w:t>
      </w:r>
      <w:r>
        <w:rPr>
          <w:rFonts w:ascii="宋体" w:hAnsi="宋体" w:cs="宋体"/>
          <w:color w:val="000000"/>
          <w:kern w:val="0"/>
          <w:sz w:val="24"/>
        </w:rPr>
        <w:t>展示游览线路</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主要展示游览线路：沿花盐街、群力街、工农街形成主要</w:t>
      </w:r>
      <w:r>
        <w:rPr>
          <w:rFonts w:ascii="宋体" w:hAnsi="宋体" w:cs="宋体"/>
          <w:color w:val="000000"/>
          <w:kern w:val="0"/>
          <w:sz w:val="24"/>
        </w:rPr>
        <w:t>展示游览线路，</w:t>
      </w:r>
      <w:r>
        <w:rPr>
          <w:rFonts w:hint="eastAsia" w:ascii="宋体" w:hAnsi="宋体" w:cs="宋体"/>
          <w:color w:val="000000"/>
          <w:kern w:val="0"/>
          <w:sz w:val="24"/>
        </w:rPr>
        <w:t>贯穿整个街区，文化展示景点多为沿此线路分布。</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次要展示游览线路：与主要展示线路相连，向山地巷弄内深入，串联更多主题文化景点，深入全面的体验地方文化。</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水上游览线路：规划沿芒溪河设置观光游船，利用两岸盐码头设置游船码头，是两河口历史街区重要的特色展示游览线路。</w:t>
      </w:r>
    </w:p>
    <w:p>
      <w:pPr>
        <w:numPr>
          <w:ilvl w:val="0"/>
          <w:numId w:val="1"/>
        </w:numPr>
        <w:snapToGrid w:val="0"/>
        <w:spacing w:line="360" w:lineRule="auto"/>
        <w:outlineLvl w:val="2"/>
        <w:rPr>
          <w:rFonts w:ascii="黑体" w:hAnsi="黑体" w:eastAsia="黑体"/>
          <w:b/>
          <w:bCs/>
          <w:color w:val="000000"/>
          <w:sz w:val="28"/>
          <w:szCs w:val="32"/>
        </w:rPr>
      </w:pPr>
      <w:bookmarkStart w:id="14" w:name="_Toc19791655"/>
      <w:bookmarkStart w:id="15" w:name="_Toc19204197"/>
      <w:bookmarkStart w:id="16" w:name="_Toc17969537"/>
      <w:r>
        <w:rPr>
          <w:rFonts w:hint="eastAsia" w:ascii="黑体" w:hAnsi="黑体" w:eastAsia="黑体"/>
          <w:b/>
          <w:bCs/>
          <w:color w:val="000000"/>
          <w:sz w:val="28"/>
          <w:szCs w:val="32"/>
        </w:rPr>
        <w:t>道路交通规划</w:t>
      </w:r>
      <w:bookmarkEnd w:id="14"/>
      <w:bookmarkEnd w:id="15"/>
      <w:bookmarkEnd w:id="16"/>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道路系统</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疏解</w:t>
      </w:r>
      <w:r>
        <w:rPr>
          <w:rFonts w:ascii="宋体" w:hAnsi="宋体" w:cs="宋体"/>
          <w:color w:val="000000"/>
          <w:kern w:val="0"/>
          <w:sz w:val="24"/>
        </w:rPr>
        <w:t>过境交通，</w:t>
      </w:r>
      <w:r>
        <w:rPr>
          <w:rFonts w:hint="eastAsia" w:ascii="宋体" w:hAnsi="宋体"/>
          <w:color w:val="000000"/>
          <w:sz w:val="24"/>
        </w:rPr>
        <w:t>G213 改线，通过五犍沐快速路绕行。</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街区主要道路：花盐街、工农街、群力街。</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街区次要道路：街区内道路系统的支线。</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过河通道：共设置四座桥梁，</w:t>
      </w:r>
      <w:r>
        <w:rPr>
          <w:rFonts w:ascii="宋体" w:hAnsi="宋体" w:cs="宋体"/>
          <w:color w:val="000000"/>
          <w:kern w:val="0"/>
          <w:sz w:val="24"/>
        </w:rPr>
        <w:t>利用现状码头设置</w:t>
      </w:r>
      <w:r>
        <w:rPr>
          <w:rFonts w:hint="eastAsia" w:ascii="宋体" w:hAnsi="宋体" w:cs="宋体"/>
          <w:color w:val="000000"/>
          <w:kern w:val="0"/>
          <w:sz w:val="24"/>
        </w:rPr>
        <w:t>四处摆渡</w:t>
      </w:r>
      <w:r>
        <w:rPr>
          <w:rFonts w:ascii="宋体" w:hAnsi="宋体" w:cs="宋体"/>
          <w:color w:val="000000"/>
          <w:kern w:val="0"/>
          <w:sz w:val="24"/>
        </w:rPr>
        <w:t>过河</w:t>
      </w:r>
      <w:r>
        <w:rPr>
          <w:rFonts w:hint="eastAsia" w:ascii="宋体" w:hAnsi="宋体" w:cs="宋体"/>
          <w:color w:val="000000"/>
          <w:kern w:val="0"/>
          <w:sz w:val="24"/>
        </w:rPr>
        <w:t>通道。</w:t>
      </w:r>
    </w:p>
    <w:p>
      <w:pPr>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w:t>
      </w:r>
      <w:r>
        <w:rPr>
          <w:rFonts w:ascii="宋体" w:hAnsi="宋体" w:cs="宋体"/>
          <w:color w:val="000000"/>
          <w:kern w:val="0"/>
          <w:sz w:val="24"/>
        </w:rPr>
        <w:t>道路通行控制</w:t>
      </w:r>
    </w:p>
    <w:p>
      <w:pPr>
        <w:adjustRightInd w:val="0"/>
        <w:snapToGrid w:val="0"/>
        <w:spacing w:line="360" w:lineRule="auto"/>
        <w:ind w:firstLine="480" w:firstLineChars="200"/>
        <w:rPr>
          <w:color w:val="000000"/>
          <w:sz w:val="24"/>
          <w:szCs w:val="28"/>
        </w:rPr>
      </w:pPr>
      <w:r>
        <w:rPr>
          <w:rFonts w:hint="eastAsia"/>
          <w:color w:val="000000"/>
          <w:sz w:val="24"/>
          <w:szCs w:val="28"/>
        </w:rPr>
        <w:t>规划将街区内交通分为限制车行、步行与船行三类。</w:t>
      </w:r>
    </w:p>
    <w:p>
      <w:pPr>
        <w:adjustRightInd w:val="0"/>
        <w:snapToGrid w:val="0"/>
        <w:spacing w:line="360" w:lineRule="auto"/>
        <w:ind w:firstLine="480" w:firstLineChars="200"/>
        <w:rPr>
          <w:color w:val="000000"/>
          <w:sz w:val="24"/>
        </w:rPr>
      </w:pPr>
      <w:r>
        <w:rPr>
          <w:rFonts w:hint="eastAsia"/>
          <w:color w:val="000000"/>
          <w:sz w:val="24"/>
        </w:rPr>
        <w:t>限制车行：花盐街弱化交通功能，限制车行，必要的消防车、电瓶车外、居民服务用车可限时通行。工农街、群力街以步行交通为主，限制车行。</w:t>
      </w:r>
    </w:p>
    <w:p>
      <w:pPr>
        <w:adjustRightInd w:val="0"/>
        <w:snapToGrid w:val="0"/>
        <w:spacing w:line="360" w:lineRule="auto"/>
        <w:ind w:firstLine="480" w:firstLineChars="200"/>
        <w:rPr>
          <w:color w:val="000000"/>
          <w:sz w:val="24"/>
        </w:rPr>
      </w:pPr>
      <w:r>
        <w:rPr>
          <w:rFonts w:hint="eastAsia" w:ascii="宋体" w:hAnsi="宋体"/>
          <w:color w:val="000000"/>
          <w:sz w:val="24"/>
        </w:rPr>
        <w:t>步行</w:t>
      </w:r>
      <w:r>
        <w:rPr>
          <w:rFonts w:hint="eastAsia"/>
          <w:color w:val="000000"/>
          <w:sz w:val="24"/>
        </w:rPr>
        <w:t>：街区内部山地巷弄为步行。</w:t>
      </w:r>
    </w:p>
    <w:p>
      <w:pPr>
        <w:adjustRightInd w:val="0"/>
        <w:snapToGrid w:val="0"/>
        <w:spacing w:line="360" w:lineRule="auto"/>
        <w:ind w:firstLine="480" w:firstLineChars="200"/>
        <w:rPr>
          <w:color w:val="000000"/>
          <w:sz w:val="24"/>
        </w:rPr>
      </w:pPr>
      <w:r>
        <w:rPr>
          <w:rFonts w:hint="eastAsia"/>
          <w:color w:val="000000"/>
          <w:sz w:val="24"/>
        </w:rPr>
        <w:t>船行：规划沿茫溪河设置游船和摆渡船，利用两岸盐码头设置为游船码头，通过水上旅游交通线路服务两岸，作为机动交通的补充。</w:t>
      </w:r>
    </w:p>
    <w:p>
      <w:pPr>
        <w:adjustRightInd w:val="0"/>
        <w:snapToGrid w:val="0"/>
        <w:spacing w:line="360" w:lineRule="auto"/>
        <w:ind w:firstLine="480" w:firstLineChars="200"/>
        <w:rPr>
          <w:color w:val="000000"/>
          <w:sz w:val="24"/>
        </w:rPr>
      </w:pPr>
      <w:r>
        <w:rPr>
          <w:rFonts w:hint="eastAsia"/>
          <w:color w:val="000000"/>
          <w:sz w:val="24"/>
        </w:rPr>
        <w:t>3、</w:t>
      </w:r>
      <w:r>
        <w:rPr>
          <w:color w:val="000000"/>
          <w:sz w:val="24"/>
        </w:rPr>
        <w:t>静态交通</w:t>
      </w:r>
    </w:p>
    <w:p>
      <w:pPr>
        <w:snapToGrid w:val="0"/>
        <w:spacing w:line="360" w:lineRule="auto"/>
        <w:ind w:firstLine="480" w:firstLineChars="200"/>
        <w:rPr>
          <w:rFonts w:ascii="宋体" w:hAnsi="宋体"/>
          <w:color w:val="000000"/>
          <w:sz w:val="24"/>
        </w:rPr>
      </w:pPr>
      <w:r>
        <w:rPr>
          <w:rFonts w:hint="eastAsia" w:ascii="宋体" w:hAnsi="宋体" w:cs="宋体"/>
          <w:color w:val="000000"/>
          <w:kern w:val="0"/>
          <w:sz w:val="24"/>
        </w:rPr>
        <w:t>结合</w:t>
      </w:r>
      <w:r>
        <w:rPr>
          <w:rFonts w:ascii="宋体" w:hAnsi="宋体" w:cs="宋体"/>
          <w:color w:val="000000"/>
          <w:kern w:val="0"/>
          <w:sz w:val="24"/>
        </w:rPr>
        <w:t>出入口</w:t>
      </w:r>
      <w:r>
        <w:rPr>
          <w:rFonts w:hint="eastAsia" w:ascii="宋体" w:hAnsi="宋体" w:cs="宋体"/>
          <w:color w:val="000000"/>
          <w:kern w:val="0"/>
          <w:sz w:val="24"/>
        </w:rPr>
        <w:t>设置6处停车场，</w:t>
      </w:r>
      <w:r>
        <w:rPr>
          <w:rFonts w:hint="eastAsia" w:ascii="宋体" w:hAnsi="宋体"/>
          <w:color w:val="000000"/>
          <w:sz w:val="24"/>
        </w:rPr>
        <w:t>对机动车辆进行有效截流，限制机动车进入历史街区。</w:t>
      </w:r>
    </w:p>
    <w:p>
      <w:pPr>
        <w:numPr>
          <w:ilvl w:val="0"/>
          <w:numId w:val="1"/>
        </w:numPr>
        <w:snapToGrid w:val="0"/>
        <w:spacing w:line="360" w:lineRule="auto"/>
        <w:outlineLvl w:val="2"/>
        <w:rPr>
          <w:rFonts w:ascii="黑体" w:hAnsi="黑体" w:eastAsia="黑体"/>
          <w:b/>
          <w:bCs/>
          <w:color w:val="000000"/>
          <w:sz w:val="28"/>
          <w:szCs w:val="32"/>
        </w:rPr>
      </w:pPr>
      <w:r>
        <w:rPr>
          <w:rFonts w:hint="eastAsia" w:ascii="黑体" w:hAnsi="黑体" w:eastAsia="黑体"/>
          <w:b/>
          <w:bCs/>
          <w:color w:val="000000"/>
          <w:sz w:val="28"/>
          <w:szCs w:val="32"/>
        </w:rPr>
        <w:t>市政设施规划</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完善市政管线和设施，当市政管线和设施按常规设置与文物保护单位、历史建筑及历史环境要素的保护发生矛盾时，在满足保护要求的前提下采取工程技术措施加以解决。</w:t>
      </w:r>
    </w:p>
    <w:p>
      <w:pPr>
        <w:numPr>
          <w:ilvl w:val="0"/>
          <w:numId w:val="1"/>
        </w:numPr>
        <w:snapToGrid w:val="0"/>
        <w:spacing w:line="360" w:lineRule="auto"/>
        <w:outlineLvl w:val="2"/>
        <w:rPr>
          <w:rFonts w:ascii="黑体" w:hAnsi="黑体" w:eastAsia="黑体"/>
          <w:b/>
          <w:bCs/>
          <w:color w:val="000000"/>
          <w:sz w:val="28"/>
          <w:szCs w:val="32"/>
        </w:rPr>
      </w:pPr>
      <w:r>
        <w:rPr>
          <w:rFonts w:hint="eastAsia" w:ascii="黑体" w:hAnsi="黑体" w:eastAsia="黑体"/>
          <w:b/>
          <w:bCs/>
          <w:color w:val="000000"/>
          <w:sz w:val="28"/>
          <w:szCs w:val="32"/>
        </w:rPr>
        <w:t>防灾规划</w:t>
      </w:r>
    </w:p>
    <w:p>
      <w:pPr>
        <w:overflowPunct w:val="0"/>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本着“预防为主</w:t>
      </w:r>
      <w:r>
        <w:rPr>
          <w:rFonts w:hint="eastAsia" w:cs="Times New Roman" w:asciiTheme="minorEastAsia" w:hAnsiTheme="minorEastAsia"/>
          <w:b/>
          <w:bCs/>
          <w:sz w:val="24"/>
          <w:szCs w:val="24"/>
        </w:rPr>
        <w:t>、</w:t>
      </w:r>
      <w:r>
        <w:rPr>
          <w:rFonts w:hint="eastAsia" w:asciiTheme="minorEastAsia" w:hAnsiTheme="minorEastAsia"/>
          <w:sz w:val="24"/>
          <w:szCs w:val="24"/>
        </w:rPr>
        <w:t>防消结合、合理布点”的原则，统一规划消防站、消防用水、消防通道和消防通讯网。根据街区内部道路、街巷、建筑特点，因地制宜、合理配置消防设施。</w:t>
      </w:r>
    </w:p>
    <w:p>
      <w:pPr>
        <w:snapToGrid w:val="0"/>
        <w:spacing w:line="360" w:lineRule="auto"/>
        <w:ind w:firstLine="480" w:firstLineChars="200"/>
        <w:rPr>
          <w:rFonts w:ascii="宋体" w:hAnsi="宋体"/>
          <w:color w:val="000000"/>
          <w:sz w:val="24"/>
        </w:rPr>
      </w:pPr>
    </w:p>
    <w:p>
      <w:pPr>
        <w:widowControl/>
        <w:jc w:val="left"/>
        <w:rPr>
          <w:rFonts w:ascii="黑体" w:hAnsi="黑体" w:eastAsia="黑体"/>
          <w:b/>
          <w:bCs/>
          <w:color w:val="000000"/>
          <w:sz w:val="28"/>
          <w:szCs w:val="32"/>
        </w:rPr>
      </w:pPr>
      <w:r>
        <w:rPr>
          <w:rFonts w:ascii="黑体" w:hAnsi="黑体" w:eastAsia="黑体"/>
          <w:b/>
          <w:bCs/>
          <w:color w:val="000000"/>
          <w:sz w:val="28"/>
          <w:szCs w:val="32"/>
        </w:rPr>
        <w:br w:type="page"/>
      </w:r>
    </w:p>
    <w:p>
      <w:pPr>
        <w:snapToGrid w:val="0"/>
        <w:spacing w:line="360" w:lineRule="auto"/>
        <w:outlineLvl w:val="2"/>
        <w:rPr>
          <w:rFonts w:ascii="黑体" w:hAnsi="黑体" w:eastAsia="黑体"/>
          <w:b/>
          <w:bCs/>
          <w:color w:val="000000"/>
          <w:sz w:val="28"/>
          <w:szCs w:val="32"/>
        </w:rPr>
      </w:pPr>
      <w:r>
        <w:rPr>
          <w:rFonts w:hint="eastAsia" w:ascii="黑体" w:hAnsi="黑体" w:eastAsia="黑体"/>
          <w:b/>
          <w:bCs/>
          <w:color w:val="000000"/>
          <w:sz w:val="28"/>
          <w:szCs w:val="32"/>
        </w:rPr>
        <w:t>附图</w:t>
      </w:r>
      <w:r>
        <w:rPr>
          <w:rFonts w:ascii="黑体" w:hAnsi="黑体" w:eastAsia="黑体"/>
          <w:b/>
          <w:bCs/>
          <w:color w:val="000000"/>
          <w:sz w:val="28"/>
          <w:szCs w:val="32"/>
        </w:rPr>
        <w:t>：</w:t>
      </w:r>
    </w:p>
    <w:p>
      <w:pPr>
        <w:pStyle w:val="34"/>
        <w:numPr>
          <w:ilvl w:val="1"/>
          <w:numId w:val="2"/>
        </w:numPr>
        <w:snapToGrid w:val="0"/>
        <w:spacing w:line="360" w:lineRule="auto"/>
        <w:ind w:left="426" w:firstLineChars="0"/>
        <w:rPr>
          <w:rFonts w:ascii="宋体" w:hAnsi="宋体" w:cs="宋体"/>
          <w:color w:val="000000"/>
          <w:kern w:val="0"/>
          <w:sz w:val="24"/>
        </w:rPr>
      </w:pPr>
      <w:r>
        <w:rPr>
          <w:rFonts w:ascii="宋体" w:hAnsi="宋体" w:cs="宋体"/>
          <w:color w:val="000000"/>
          <w:kern w:val="0"/>
          <w:sz w:val="24"/>
        </w:rPr>
        <w:t>保护区划图</w:t>
      </w:r>
    </w:p>
    <w:p>
      <w:pPr>
        <w:snapToGrid w:val="0"/>
        <w:spacing w:line="360" w:lineRule="auto"/>
        <w:rPr>
          <w:rFonts w:ascii="宋体" w:hAnsi="宋体" w:cs="宋体"/>
          <w:color w:val="000000"/>
          <w:kern w:val="0"/>
          <w:sz w:val="24"/>
        </w:rPr>
      </w:pPr>
      <w:r>
        <w:rPr>
          <w:rFonts w:ascii="宋体" w:hAnsi="宋体" w:cs="宋体"/>
          <w:color w:val="000000"/>
          <w:kern w:val="0"/>
          <w:sz w:val="24"/>
        </w:rPr>
        <w:drawing>
          <wp:inline distT="0" distB="0" distL="0" distR="0">
            <wp:extent cx="5257800" cy="3721100"/>
            <wp:effectExtent l="0" t="0" r="0" b="0"/>
            <wp:docPr id="1" name="图片 1" descr="O:\01资料库\urban planning\项目存档\乐山历史文化街区\最终成果\复审后修改成果\两河口\02成图-最终\16-两河口保护范围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01资料库\urban planning\项目存档\乐山历史文化街区\最终成果\复审后修改成果\两河口\02成图-最终\16-两河口保护范围图.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57800" cy="3721100"/>
                    </a:xfrm>
                    <a:prstGeom prst="rect">
                      <a:avLst/>
                    </a:prstGeom>
                    <a:noFill/>
                    <a:ln>
                      <a:noFill/>
                    </a:ln>
                  </pic:spPr>
                </pic:pic>
              </a:graphicData>
            </a:graphic>
          </wp:inline>
        </w:drawing>
      </w:r>
    </w:p>
    <w:p>
      <w:pPr>
        <w:snapToGrid w:val="0"/>
        <w:spacing w:line="360" w:lineRule="auto"/>
        <w:rPr>
          <w:rFonts w:ascii="宋体" w:hAnsi="宋体" w:cs="宋体"/>
          <w:color w:val="000000"/>
          <w:kern w:val="0"/>
          <w:sz w:val="24"/>
        </w:rPr>
      </w:pPr>
    </w:p>
    <w:p>
      <w:pPr>
        <w:pStyle w:val="34"/>
        <w:numPr>
          <w:ilvl w:val="1"/>
          <w:numId w:val="2"/>
        </w:numPr>
        <w:snapToGrid w:val="0"/>
        <w:spacing w:line="360" w:lineRule="auto"/>
        <w:ind w:left="426" w:firstLineChars="0"/>
        <w:rPr>
          <w:rFonts w:ascii="宋体" w:hAnsi="宋体" w:cs="宋体"/>
          <w:color w:val="000000"/>
          <w:kern w:val="0"/>
          <w:sz w:val="24"/>
        </w:rPr>
      </w:pPr>
      <w:r>
        <w:rPr>
          <w:rFonts w:hint="eastAsia" w:ascii="宋体" w:hAnsi="宋体" w:cs="宋体"/>
          <w:color w:val="000000"/>
          <w:kern w:val="0"/>
          <w:sz w:val="24"/>
        </w:rPr>
        <w:t>文物</w:t>
      </w:r>
      <w:r>
        <w:rPr>
          <w:rFonts w:ascii="宋体" w:hAnsi="宋体" w:cs="宋体"/>
          <w:color w:val="000000"/>
          <w:kern w:val="0"/>
          <w:sz w:val="24"/>
        </w:rPr>
        <w:t>及建筑遗产保护规划图</w:t>
      </w:r>
    </w:p>
    <w:p>
      <w:pPr>
        <w:snapToGrid w:val="0"/>
        <w:spacing w:line="360" w:lineRule="auto"/>
        <w:rPr>
          <w:rFonts w:ascii="宋体" w:hAnsi="宋体" w:cs="宋体"/>
          <w:color w:val="000000"/>
          <w:kern w:val="0"/>
          <w:sz w:val="24"/>
        </w:rPr>
      </w:pPr>
      <w:r>
        <w:rPr>
          <w:rFonts w:ascii="宋体" w:hAnsi="宋体" w:cs="宋体"/>
          <w:color w:val="000000"/>
          <w:kern w:val="0"/>
          <w:sz w:val="24"/>
        </w:rPr>
        <w:drawing>
          <wp:inline distT="0" distB="0" distL="0" distR="0">
            <wp:extent cx="5257800" cy="3721100"/>
            <wp:effectExtent l="0" t="0" r="0" b="0"/>
            <wp:docPr id="2" name="图片 2" descr="O:\01资料库\urban planning\项目存档\乐山历史文化街区\最终成果\复审后修改成果\两河口\02成图-最终\18-两河口保护总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01资料库\urban planning\项目存档\乐山历史文化街区\最终成果\复审后修改成果\两河口\02成图-最终\18-两河口保护总图(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57800" cy="3721100"/>
                    </a:xfrm>
                    <a:prstGeom prst="rect">
                      <a:avLst/>
                    </a:prstGeom>
                    <a:noFill/>
                    <a:ln>
                      <a:noFill/>
                    </a:ln>
                  </pic:spPr>
                </pic:pic>
              </a:graphicData>
            </a:graphic>
          </wp:inline>
        </w:drawing>
      </w:r>
    </w:p>
    <w:p>
      <w:pPr>
        <w:pStyle w:val="34"/>
        <w:numPr>
          <w:ilvl w:val="1"/>
          <w:numId w:val="2"/>
        </w:numPr>
        <w:snapToGrid w:val="0"/>
        <w:spacing w:line="360" w:lineRule="auto"/>
        <w:ind w:left="426" w:firstLineChars="0"/>
        <w:rPr>
          <w:rFonts w:ascii="宋体" w:hAnsi="宋体" w:cs="宋体"/>
          <w:color w:val="000000"/>
          <w:kern w:val="0"/>
          <w:sz w:val="24"/>
        </w:rPr>
      </w:pPr>
      <w:r>
        <w:rPr>
          <w:rFonts w:hint="eastAsia" w:ascii="宋体" w:hAnsi="宋体" w:cs="宋体"/>
          <w:color w:val="000000"/>
          <w:kern w:val="0"/>
          <w:sz w:val="24"/>
        </w:rPr>
        <w:t>历史环境要素</w:t>
      </w:r>
      <w:r>
        <w:rPr>
          <w:rFonts w:ascii="宋体" w:hAnsi="宋体" w:cs="宋体"/>
          <w:color w:val="000000"/>
          <w:kern w:val="0"/>
          <w:sz w:val="24"/>
        </w:rPr>
        <w:t>保护规划图</w:t>
      </w:r>
    </w:p>
    <w:p>
      <w:pPr>
        <w:snapToGrid w:val="0"/>
        <w:spacing w:line="360" w:lineRule="auto"/>
        <w:rPr>
          <w:rFonts w:ascii="宋体" w:hAnsi="宋体" w:cs="宋体"/>
          <w:color w:val="000000"/>
          <w:kern w:val="0"/>
          <w:sz w:val="24"/>
        </w:rPr>
      </w:pPr>
      <w:r>
        <w:rPr>
          <w:rFonts w:hint="eastAsia" w:ascii="宋体" w:hAnsi="宋体" w:cs="宋体"/>
          <w:color w:val="000000"/>
          <w:kern w:val="0"/>
          <w:sz w:val="24"/>
        </w:rPr>
        <w:drawing>
          <wp:inline distT="0" distB="0" distL="0" distR="0">
            <wp:extent cx="5257800" cy="3721100"/>
            <wp:effectExtent l="0" t="0" r="0" b="0"/>
            <wp:docPr id="3" name="图片 3" descr="O:\01资料库\urban planning\项目存档\乐山历史文化街区\最终成果\复审后修改成果\两河口\02成图-最终\19-两河口环境要素保护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01资料库\urban planning\项目存档\乐山历史文化街区\最终成果\复审后修改成果\两河口\02成图-最终\19-两河口环境要素保护总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57800" cy="3721100"/>
                    </a:xfrm>
                    <a:prstGeom prst="rect">
                      <a:avLst/>
                    </a:prstGeom>
                    <a:noFill/>
                    <a:ln>
                      <a:noFill/>
                    </a:ln>
                  </pic:spPr>
                </pic:pic>
              </a:graphicData>
            </a:graphic>
          </wp:inline>
        </w:drawing>
      </w:r>
    </w:p>
    <w:p>
      <w:pPr>
        <w:snapToGrid w:val="0"/>
        <w:spacing w:line="360" w:lineRule="auto"/>
        <w:rPr>
          <w:rFonts w:ascii="宋体" w:hAnsi="宋体" w:cs="宋体"/>
          <w:color w:val="000000"/>
          <w:kern w:val="0"/>
          <w:sz w:val="24"/>
        </w:rPr>
      </w:pPr>
    </w:p>
    <w:p>
      <w:pPr>
        <w:pStyle w:val="34"/>
        <w:numPr>
          <w:ilvl w:val="1"/>
          <w:numId w:val="2"/>
        </w:numPr>
        <w:snapToGrid w:val="0"/>
        <w:spacing w:line="360" w:lineRule="auto"/>
        <w:ind w:left="426" w:firstLineChars="0"/>
        <w:rPr>
          <w:rFonts w:ascii="宋体" w:hAnsi="宋体" w:cs="宋体"/>
          <w:color w:val="000000"/>
          <w:kern w:val="0"/>
          <w:sz w:val="24"/>
        </w:rPr>
      </w:pPr>
      <w:r>
        <w:rPr>
          <w:rFonts w:hint="eastAsia" w:ascii="宋体" w:hAnsi="宋体" w:cs="宋体"/>
          <w:color w:val="000000"/>
          <w:kern w:val="0"/>
          <w:sz w:val="24"/>
        </w:rPr>
        <w:t>用地布局</w:t>
      </w:r>
      <w:r>
        <w:rPr>
          <w:rFonts w:ascii="宋体" w:hAnsi="宋体" w:cs="宋体"/>
          <w:color w:val="000000"/>
          <w:kern w:val="0"/>
          <w:sz w:val="24"/>
        </w:rPr>
        <w:t>规划图</w:t>
      </w:r>
    </w:p>
    <w:p>
      <w:pPr>
        <w:snapToGrid w:val="0"/>
        <w:spacing w:line="360" w:lineRule="auto"/>
        <w:rPr>
          <w:rFonts w:ascii="宋体" w:hAnsi="宋体" w:cs="宋体"/>
          <w:color w:val="000000"/>
          <w:kern w:val="0"/>
          <w:sz w:val="24"/>
        </w:rPr>
      </w:pPr>
      <w:r>
        <w:rPr>
          <w:rFonts w:hint="eastAsia" w:ascii="宋体" w:hAnsi="宋体" w:cs="宋体"/>
          <w:color w:val="000000"/>
          <w:kern w:val="0"/>
          <w:sz w:val="24"/>
        </w:rPr>
        <w:drawing>
          <wp:inline distT="0" distB="0" distL="0" distR="0">
            <wp:extent cx="5257800" cy="3721100"/>
            <wp:effectExtent l="0" t="0" r="0" b="0"/>
            <wp:docPr id="4" name="图片 4" descr="O:\01资料库\urban planning\项目存档\乐山历史文化街区\最终成果\复审后修改成果\两河口\02成图-最终\22两河口用地布局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01资料库\urban planning\项目存档\乐山历史文化街区\最终成果\复审后修改成果\两河口\02成图-最终\22两河口用地布局规划.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57800" cy="3721100"/>
                    </a:xfrm>
                    <a:prstGeom prst="rect">
                      <a:avLst/>
                    </a:prstGeom>
                    <a:noFill/>
                    <a:ln>
                      <a:noFill/>
                    </a:ln>
                  </pic:spPr>
                </pic:pic>
              </a:graphicData>
            </a:graphic>
          </wp:inline>
        </w:drawing>
      </w:r>
    </w:p>
    <w:p>
      <w:pPr>
        <w:snapToGrid w:val="0"/>
        <w:spacing w:line="360" w:lineRule="auto"/>
        <w:rPr>
          <w:rFonts w:ascii="宋体" w:hAnsi="宋体" w:cs="宋体"/>
          <w:color w:val="000000"/>
          <w:kern w:val="0"/>
          <w:sz w:val="24"/>
        </w:rPr>
      </w:pPr>
    </w:p>
    <w:p>
      <w:pPr>
        <w:pStyle w:val="34"/>
        <w:numPr>
          <w:ilvl w:val="1"/>
          <w:numId w:val="2"/>
        </w:numPr>
        <w:snapToGrid w:val="0"/>
        <w:spacing w:line="360" w:lineRule="auto"/>
        <w:ind w:left="426" w:firstLineChars="0"/>
        <w:rPr>
          <w:rFonts w:ascii="宋体" w:hAnsi="宋体" w:cs="宋体"/>
          <w:color w:val="000000"/>
          <w:kern w:val="0"/>
          <w:sz w:val="24"/>
        </w:rPr>
      </w:pPr>
      <w:r>
        <w:rPr>
          <w:rFonts w:hint="eastAsia" w:ascii="宋体" w:hAnsi="宋体" w:cs="宋体"/>
          <w:color w:val="000000"/>
          <w:kern w:val="0"/>
          <w:sz w:val="24"/>
        </w:rPr>
        <w:t>规划</w:t>
      </w:r>
      <w:r>
        <w:rPr>
          <w:rFonts w:ascii="宋体" w:hAnsi="宋体" w:cs="宋体"/>
          <w:color w:val="000000"/>
          <w:kern w:val="0"/>
          <w:sz w:val="24"/>
        </w:rPr>
        <w:t>总</w:t>
      </w:r>
      <w:r>
        <w:rPr>
          <w:rFonts w:hint="eastAsia" w:ascii="宋体" w:hAnsi="宋体" w:cs="宋体"/>
          <w:color w:val="000000"/>
          <w:kern w:val="0"/>
          <w:sz w:val="24"/>
        </w:rPr>
        <w:t>平面图</w:t>
      </w:r>
    </w:p>
    <w:p>
      <w:pPr>
        <w:snapToGrid w:val="0"/>
        <w:spacing w:line="360" w:lineRule="auto"/>
        <w:rPr>
          <w:rFonts w:ascii="宋体" w:hAnsi="宋体" w:cs="宋体"/>
          <w:color w:val="000000"/>
          <w:kern w:val="0"/>
          <w:sz w:val="24"/>
        </w:rPr>
      </w:pPr>
      <w:r>
        <w:rPr>
          <w:rFonts w:hint="eastAsia" w:ascii="宋体" w:hAnsi="宋体" w:cs="宋体"/>
          <w:color w:val="000000"/>
          <w:kern w:val="0"/>
          <w:sz w:val="24"/>
        </w:rPr>
        <w:drawing>
          <wp:inline distT="0" distB="0" distL="0" distR="0">
            <wp:extent cx="5257800" cy="3721100"/>
            <wp:effectExtent l="0" t="0" r="0" b="0"/>
            <wp:docPr id="5" name="图片 5" descr="O:\01资料库\urban planning\项目存档\乐山历史文化街区\最终成果\复审后修改成果\两河口\02成图-最终\23总平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O:\01资料库\urban planning\项目存档\乐山历史文化街区\最终成果\复审后修改成果\两河口\02成图-最终\23总平面.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57800" cy="3721100"/>
                    </a:xfrm>
                    <a:prstGeom prst="rect">
                      <a:avLst/>
                    </a:prstGeom>
                    <a:noFill/>
                    <a:ln>
                      <a:noFill/>
                    </a:ln>
                  </pic:spPr>
                </pic:pic>
              </a:graphicData>
            </a:graphic>
          </wp:inline>
        </w:drawing>
      </w:r>
    </w:p>
    <w:p>
      <w:pPr>
        <w:snapToGrid w:val="0"/>
        <w:spacing w:line="360" w:lineRule="auto"/>
        <w:rPr>
          <w:rFonts w:ascii="宋体" w:hAnsi="宋体" w:cs="宋体"/>
          <w:color w:val="000000"/>
          <w:kern w:val="0"/>
          <w:sz w:val="24"/>
        </w:rPr>
      </w:pPr>
    </w:p>
    <w:p>
      <w:pPr>
        <w:pStyle w:val="34"/>
        <w:numPr>
          <w:ilvl w:val="1"/>
          <w:numId w:val="2"/>
        </w:numPr>
        <w:snapToGrid w:val="0"/>
        <w:spacing w:line="360" w:lineRule="auto"/>
        <w:ind w:left="426" w:firstLineChars="0"/>
        <w:rPr>
          <w:rFonts w:ascii="宋体" w:hAnsi="宋体" w:cs="宋体"/>
          <w:color w:val="000000"/>
          <w:kern w:val="0"/>
          <w:sz w:val="24"/>
        </w:rPr>
      </w:pPr>
      <w:r>
        <w:rPr>
          <w:rFonts w:hint="eastAsia" w:ascii="宋体" w:hAnsi="宋体" w:cs="宋体"/>
          <w:color w:val="000000"/>
          <w:kern w:val="0"/>
          <w:sz w:val="24"/>
        </w:rPr>
        <w:t>高度</w:t>
      </w:r>
      <w:r>
        <w:rPr>
          <w:rFonts w:ascii="宋体" w:hAnsi="宋体" w:cs="宋体"/>
          <w:color w:val="000000"/>
          <w:kern w:val="0"/>
          <w:sz w:val="24"/>
        </w:rPr>
        <w:t>控制</w:t>
      </w:r>
      <w:r>
        <w:rPr>
          <w:rFonts w:hint="eastAsia" w:ascii="宋体" w:hAnsi="宋体" w:cs="宋体"/>
          <w:color w:val="000000"/>
          <w:kern w:val="0"/>
          <w:sz w:val="24"/>
        </w:rPr>
        <w:t>规划图</w:t>
      </w:r>
    </w:p>
    <w:p>
      <w:pPr>
        <w:snapToGrid w:val="0"/>
        <w:spacing w:line="360" w:lineRule="auto"/>
        <w:rPr>
          <w:rFonts w:ascii="宋体" w:hAnsi="宋体" w:cs="宋体"/>
          <w:color w:val="000000"/>
          <w:kern w:val="0"/>
          <w:sz w:val="24"/>
        </w:rPr>
      </w:pPr>
      <w:r>
        <w:rPr>
          <w:rFonts w:ascii="宋体" w:hAnsi="宋体" w:cs="宋体"/>
          <w:color w:val="000000"/>
          <w:kern w:val="0"/>
          <w:sz w:val="24"/>
        </w:rPr>
        <w:drawing>
          <wp:inline distT="0" distB="0" distL="0" distR="0">
            <wp:extent cx="5257800" cy="3721100"/>
            <wp:effectExtent l="0" t="0" r="0" b="0"/>
            <wp:docPr id="6" name="图片 6" descr="O:\01资料库\urban planning\项目存档\乐山历史文化街区\最终成果\复审后修改成果\两河口\02成图-最终\25-两河口高度控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01资料库\urban planning\项目存档\乐山历史文化街区\最终成果\复审后修改成果\两河口\02成图-最终\25-两河口高度控制.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57800" cy="3721100"/>
                    </a:xfrm>
                    <a:prstGeom prst="rect">
                      <a:avLst/>
                    </a:prstGeom>
                    <a:noFill/>
                    <a:ln>
                      <a:noFill/>
                    </a:ln>
                  </pic:spPr>
                </pic:pic>
              </a:graphicData>
            </a:graphic>
          </wp:inline>
        </w:drawing>
      </w:r>
    </w:p>
    <w:p>
      <w:pPr>
        <w:snapToGrid w:val="0"/>
        <w:spacing w:line="360" w:lineRule="auto"/>
        <w:rPr>
          <w:rFonts w:ascii="宋体" w:hAnsi="宋体" w:cs="宋体"/>
          <w:color w:val="000000"/>
          <w:kern w:val="0"/>
          <w:sz w:val="24"/>
        </w:rPr>
      </w:pPr>
    </w:p>
    <w:p>
      <w:pPr>
        <w:pStyle w:val="34"/>
        <w:numPr>
          <w:ilvl w:val="1"/>
          <w:numId w:val="2"/>
        </w:numPr>
        <w:snapToGrid w:val="0"/>
        <w:spacing w:line="360" w:lineRule="auto"/>
        <w:ind w:left="426" w:firstLineChars="0"/>
        <w:rPr>
          <w:rFonts w:ascii="宋体" w:hAnsi="宋体" w:cs="宋体"/>
          <w:color w:val="000000"/>
          <w:kern w:val="0"/>
          <w:sz w:val="24"/>
        </w:rPr>
      </w:pPr>
      <w:r>
        <w:rPr>
          <w:rFonts w:ascii="宋体" w:hAnsi="宋体" w:cs="宋体"/>
          <w:color w:val="000000"/>
          <w:kern w:val="0"/>
          <w:sz w:val="24"/>
        </w:rPr>
        <w:t>展示利用</w:t>
      </w:r>
      <w:r>
        <w:rPr>
          <w:rFonts w:hint="eastAsia" w:ascii="宋体" w:hAnsi="宋体" w:cs="宋体"/>
          <w:color w:val="000000"/>
          <w:kern w:val="0"/>
          <w:sz w:val="24"/>
        </w:rPr>
        <w:t>规划</w:t>
      </w:r>
    </w:p>
    <w:p>
      <w:pPr>
        <w:snapToGrid w:val="0"/>
        <w:spacing w:line="360" w:lineRule="auto"/>
        <w:rPr>
          <w:rFonts w:ascii="宋体" w:hAnsi="宋体" w:cs="宋体"/>
          <w:color w:val="000000"/>
          <w:kern w:val="0"/>
          <w:sz w:val="24"/>
        </w:rPr>
      </w:pPr>
      <w:r>
        <w:rPr>
          <w:rFonts w:ascii="宋体" w:hAnsi="宋体" w:cs="宋体"/>
          <w:color w:val="000000"/>
          <w:kern w:val="0"/>
          <w:sz w:val="24"/>
        </w:rPr>
        <w:drawing>
          <wp:inline distT="0" distB="0" distL="0" distR="0">
            <wp:extent cx="5257800" cy="3721100"/>
            <wp:effectExtent l="0" t="0" r="0" b="0"/>
            <wp:docPr id="7" name="图片 7" descr="O:\01资料库\urban planning\项目存档\乐山历史文化街区\最终成果\复审后修改成果\两河口\02成图-最终\28展示利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O:\01资料库\urban planning\项目存档\乐山历史文化街区\最终成果\复审后修改成果\两河口\02成图-最终\28展示利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57800" cy="3721100"/>
                    </a:xfrm>
                    <a:prstGeom prst="rect">
                      <a:avLst/>
                    </a:prstGeom>
                    <a:noFill/>
                    <a:ln>
                      <a:noFill/>
                    </a:ln>
                  </pic:spPr>
                </pic:pic>
              </a:graphicData>
            </a:graphic>
          </wp:inline>
        </w:drawing>
      </w:r>
    </w:p>
    <w:p>
      <w:pPr>
        <w:snapToGrid w:val="0"/>
        <w:spacing w:line="360" w:lineRule="auto"/>
        <w:rPr>
          <w:rFonts w:ascii="宋体" w:hAnsi="宋体" w:cs="宋体"/>
          <w:color w:val="000000"/>
          <w:kern w:val="0"/>
          <w:sz w:val="24"/>
        </w:rPr>
      </w:pPr>
    </w:p>
    <w:p>
      <w:pPr>
        <w:pStyle w:val="34"/>
        <w:numPr>
          <w:ilvl w:val="1"/>
          <w:numId w:val="2"/>
        </w:numPr>
        <w:snapToGrid w:val="0"/>
        <w:spacing w:line="360" w:lineRule="auto"/>
        <w:ind w:left="426" w:firstLineChars="0"/>
        <w:rPr>
          <w:rFonts w:ascii="宋体" w:hAnsi="宋体" w:cs="宋体"/>
          <w:color w:val="000000"/>
          <w:kern w:val="0"/>
          <w:sz w:val="24"/>
        </w:rPr>
      </w:pPr>
      <w:r>
        <w:rPr>
          <w:rFonts w:hint="eastAsia" w:ascii="宋体" w:hAnsi="宋体" w:cs="宋体"/>
          <w:color w:val="000000"/>
          <w:kern w:val="0"/>
          <w:sz w:val="24"/>
        </w:rPr>
        <w:t>道路系统规划图</w:t>
      </w:r>
    </w:p>
    <w:p>
      <w:pPr>
        <w:snapToGrid w:val="0"/>
        <w:spacing w:line="360" w:lineRule="auto"/>
        <w:rPr>
          <w:rFonts w:ascii="宋体" w:hAnsi="宋体" w:cs="宋体"/>
          <w:color w:val="000000"/>
          <w:kern w:val="0"/>
          <w:sz w:val="24"/>
        </w:rPr>
      </w:pPr>
      <w:r>
        <w:rPr>
          <w:rFonts w:ascii="宋体" w:hAnsi="宋体" w:cs="宋体"/>
          <w:color w:val="000000"/>
          <w:kern w:val="0"/>
          <w:sz w:val="24"/>
        </w:rPr>
        <w:drawing>
          <wp:inline distT="0" distB="0" distL="0" distR="0">
            <wp:extent cx="5257800" cy="3721100"/>
            <wp:effectExtent l="0" t="0" r="0" b="0"/>
            <wp:docPr id="8" name="图片 8" descr="O:\01资料库\urban planning\项目存档\乐山历史文化街区\最终成果\复审后修改成果\两河口\02成图-最终\30 道路系统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O:\01资料库\urban planning\项目存档\乐山历史文化街区\最终成果\复审后修改成果\两河口\02成图-最终\30 道路系统规划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57800" cy="37211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534295"/>
    <w:multiLevelType w:val="multilevel"/>
    <w:tmpl w:val="58534295"/>
    <w:lvl w:ilvl="0" w:tentative="0">
      <w:start w:val="1"/>
      <w:numFmt w:val="chineseCountingThousand"/>
      <w:lvlText w:val="%1、"/>
      <w:lvlJc w:val="left"/>
      <w:pPr>
        <w:ind w:left="420" w:hanging="420"/>
      </w:pPr>
      <w:rPr>
        <w:rFonts w:hint="eastAsia"/>
        <w:lang w:val="en-US"/>
      </w:rPr>
    </w:lvl>
    <w:lvl w:ilvl="1" w:tentative="0">
      <w:start w:val="1"/>
      <w:numFmt w:val="lowerLetter"/>
      <w:isLgl/>
      <w:lvlText w:val="%1.%2"/>
      <w:lvlJc w:val="left"/>
      <w:pPr>
        <w:ind w:left="840" w:hanging="420"/>
      </w:pPr>
      <w:rPr>
        <w:rFonts w:hint="eastAsia"/>
        <w:color w:val="auto"/>
      </w:rPr>
    </w:lvl>
    <w:lvl w:ilvl="2" w:tentative="0">
      <w:start w:val="1"/>
      <w:numFmt w:val="decimal"/>
      <w:lvlText w:val="(%3) "/>
      <w:lvlJc w:val="left"/>
      <w:pPr>
        <w:ind w:left="1260" w:hanging="84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75307378"/>
    <w:multiLevelType w:val="multilevel"/>
    <w:tmpl w:val="75307378"/>
    <w:lvl w:ilvl="0" w:tentative="0">
      <w:start w:val="1"/>
      <w:numFmt w:val="decimal"/>
      <w:lvlText w:val="%1、"/>
      <w:lvlJc w:val="left"/>
      <w:pPr>
        <w:ind w:left="1620" w:hanging="720"/>
      </w:pPr>
      <w:rPr>
        <w:rFonts w:hint="default"/>
      </w:rPr>
    </w:lvl>
    <w:lvl w:ilvl="1" w:tentative="0">
      <w:start w:val="1"/>
      <w:numFmt w:val="decimal"/>
      <w:lvlText w:val="%2、"/>
      <w:lvlJc w:val="left"/>
      <w:pPr>
        <w:ind w:left="1320"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3BE"/>
    <w:rsid w:val="00004B68"/>
    <w:rsid w:val="00071532"/>
    <w:rsid w:val="000945AD"/>
    <w:rsid w:val="000B4C67"/>
    <w:rsid w:val="000F4579"/>
    <w:rsid w:val="00107CD9"/>
    <w:rsid w:val="00145102"/>
    <w:rsid w:val="00147D6D"/>
    <w:rsid w:val="001919E0"/>
    <w:rsid w:val="001A488E"/>
    <w:rsid w:val="00226F6D"/>
    <w:rsid w:val="002829B1"/>
    <w:rsid w:val="002B2E6A"/>
    <w:rsid w:val="00446BDA"/>
    <w:rsid w:val="0046244F"/>
    <w:rsid w:val="004E33BE"/>
    <w:rsid w:val="004E3B35"/>
    <w:rsid w:val="005032AB"/>
    <w:rsid w:val="005203F6"/>
    <w:rsid w:val="00540C40"/>
    <w:rsid w:val="0054382E"/>
    <w:rsid w:val="0054561A"/>
    <w:rsid w:val="0057714D"/>
    <w:rsid w:val="005B7CCF"/>
    <w:rsid w:val="00623303"/>
    <w:rsid w:val="00630AB1"/>
    <w:rsid w:val="00674F38"/>
    <w:rsid w:val="00691564"/>
    <w:rsid w:val="006F3C68"/>
    <w:rsid w:val="006F6202"/>
    <w:rsid w:val="007030F1"/>
    <w:rsid w:val="0075742D"/>
    <w:rsid w:val="007E764B"/>
    <w:rsid w:val="00831483"/>
    <w:rsid w:val="00831F02"/>
    <w:rsid w:val="00854278"/>
    <w:rsid w:val="0086023C"/>
    <w:rsid w:val="00860731"/>
    <w:rsid w:val="00867EA5"/>
    <w:rsid w:val="00973F34"/>
    <w:rsid w:val="009A6A05"/>
    <w:rsid w:val="009C281B"/>
    <w:rsid w:val="00A0532F"/>
    <w:rsid w:val="00A71878"/>
    <w:rsid w:val="00A72AEB"/>
    <w:rsid w:val="00B147B3"/>
    <w:rsid w:val="00BA6624"/>
    <w:rsid w:val="00BA6B60"/>
    <w:rsid w:val="00BB1064"/>
    <w:rsid w:val="00BC14FB"/>
    <w:rsid w:val="00C05CF0"/>
    <w:rsid w:val="00C414F0"/>
    <w:rsid w:val="00C536FD"/>
    <w:rsid w:val="00C84B16"/>
    <w:rsid w:val="00CF0071"/>
    <w:rsid w:val="00CF08FC"/>
    <w:rsid w:val="00D31B5C"/>
    <w:rsid w:val="00D45ECE"/>
    <w:rsid w:val="00D87B4D"/>
    <w:rsid w:val="00D94A57"/>
    <w:rsid w:val="00EE1CEF"/>
    <w:rsid w:val="00F15CCB"/>
    <w:rsid w:val="00F80315"/>
    <w:rsid w:val="46D23D55"/>
    <w:rsid w:val="76134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unhideWhenUsed="0" w:uiPriority="39" w:semiHidden="0" w:name="toc 9"/>
    <w:lsdException w:uiPriority="99" w:name="Normal Indent"/>
    <w:lsdException w:uiPriority="99" w:name="footnote text"/>
    <w:lsdException w:qFormat="1" w:unhideWhenUsed="0" w:uiPriority="0" w:semiHidden="0" w:name="annotation text"/>
    <w:lsdException w:unhideWhenUsed="0" w:uiPriority="99" w:semiHidden="0" w:name="header"/>
    <w:lsdException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link w:val="36"/>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9"/>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38"/>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260"/>
      <w:jc w:val="left"/>
    </w:pPr>
    <w:rPr>
      <w:rFonts w:ascii="Calibri" w:hAnsi="Calibri" w:eastAsia="宋体" w:cs="Times New Roman"/>
      <w:sz w:val="18"/>
      <w:szCs w:val="18"/>
    </w:rPr>
  </w:style>
  <w:style w:type="paragraph" w:styleId="7">
    <w:name w:val="caption"/>
    <w:basedOn w:val="1"/>
    <w:next w:val="1"/>
    <w:qFormat/>
    <w:uiPriority w:val="35"/>
    <w:rPr>
      <w:rFonts w:ascii="Arial" w:hAnsi="Arial" w:eastAsia="黑体" w:cs="Arial"/>
      <w:sz w:val="20"/>
      <w:szCs w:val="20"/>
    </w:rPr>
  </w:style>
  <w:style w:type="paragraph" w:styleId="8">
    <w:name w:val="Document Map"/>
    <w:basedOn w:val="1"/>
    <w:link w:val="40"/>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46"/>
    <w:qFormat/>
    <w:uiPriority w:val="0"/>
    <w:pPr>
      <w:jc w:val="left"/>
    </w:pPr>
    <w:rPr>
      <w:rFonts w:ascii="Times New Roman" w:hAnsi="Times New Roman" w:eastAsia="宋体" w:cs="Times New Roman"/>
      <w:szCs w:val="24"/>
    </w:rPr>
  </w:style>
  <w:style w:type="paragraph" w:styleId="10">
    <w:name w:val="Body Text"/>
    <w:basedOn w:val="1"/>
    <w:link w:val="44"/>
    <w:qFormat/>
    <w:uiPriority w:val="0"/>
    <w:pPr>
      <w:spacing w:after="120"/>
    </w:pPr>
    <w:rPr>
      <w:rFonts w:ascii="Times New Roman" w:hAnsi="Times New Roman" w:eastAsia="宋体" w:cs="Times New Roman"/>
      <w:szCs w:val="20"/>
    </w:rPr>
  </w:style>
  <w:style w:type="paragraph" w:styleId="11">
    <w:name w:val="toc 5"/>
    <w:basedOn w:val="1"/>
    <w:next w:val="1"/>
    <w:uiPriority w:val="39"/>
    <w:pPr>
      <w:ind w:left="840"/>
      <w:jc w:val="left"/>
    </w:pPr>
    <w:rPr>
      <w:rFonts w:ascii="Calibri" w:hAnsi="Calibri" w:eastAsia="宋体" w:cs="Times New Roman"/>
      <w:sz w:val="18"/>
      <w:szCs w:val="18"/>
    </w:rPr>
  </w:style>
  <w:style w:type="paragraph" w:styleId="12">
    <w:name w:val="toc 3"/>
    <w:basedOn w:val="1"/>
    <w:next w:val="1"/>
    <w:qFormat/>
    <w:uiPriority w:val="39"/>
    <w:pPr>
      <w:ind w:left="420"/>
      <w:jc w:val="left"/>
    </w:pPr>
    <w:rPr>
      <w:rFonts w:ascii="Calibri" w:hAnsi="Calibri" w:eastAsia="宋体" w:cs="Times New Roman"/>
      <w:i/>
      <w:iCs/>
      <w:sz w:val="20"/>
      <w:szCs w:val="20"/>
    </w:rPr>
  </w:style>
  <w:style w:type="paragraph" w:styleId="13">
    <w:name w:val="Plain Text"/>
    <w:basedOn w:val="1"/>
    <w:link w:val="45"/>
    <w:qFormat/>
    <w:uiPriority w:val="0"/>
    <w:rPr>
      <w:rFonts w:ascii="宋体" w:hAnsi="Courier New" w:eastAsia="宋体" w:cs="Times New Roman"/>
      <w:szCs w:val="20"/>
    </w:rPr>
  </w:style>
  <w:style w:type="paragraph" w:styleId="14">
    <w:name w:val="toc 8"/>
    <w:basedOn w:val="1"/>
    <w:next w:val="1"/>
    <w:qFormat/>
    <w:uiPriority w:val="39"/>
    <w:pPr>
      <w:ind w:left="1470"/>
      <w:jc w:val="left"/>
    </w:pPr>
    <w:rPr>
      <w:rFonts w:ascii="Calibri" w:hAnsi="Calibri" w:eastAsia="宋体" w:cs="Times New Roman"/>
      <w:sz w:val="18"/>
      <w:szCs w:val="18"/>
    </w:rPr>
  </w:style>
  <w:style w:type="paragraph" w:styleId="15">
    <w:name w:val="Balloon Text"/>
    <w:basedOn w:val="1"/>
    <w:link w:val="43"/>
    <w:semiHidden/>
    <w:qFormat/>
    <w:uiPriority w:val="0"/>
    <w:rPr>
      <w:rFonts w:ascii="Times New Roman" w:hAnsi="Times New Roman" w:eastAsia="宋体" w:cs="Times New Roman"/>
      <w:sz w:val="18"/>
      <w:szCs w:val="18"/>
    </w:rPr>
  </w:style>
  <w:style w:type="paragraph" w:styleId="16">
    <w:name w:val="footer"/>
    <w:basedOn w:val="1"/>
    <w:link w:val="41"/>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17">
    <w:name w:val="header"/>
    <w:basedOn w:val="1"/>
    <w:link w:val="42"/>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8">
    <w:name w:val="toc 1"/>
    <w:basedOn w:val="1"/>
    <w:next w:val="1"/>
    <w:uiPriority w:val="39"/>
    <w:pPr>
      <w:snapToGrid w:val="0"/>
      <w:spacing w:line="360" w:lineRule="auto"/>
      <w:jc w:val="center"/>
    </w:pPr>
    <w:rPr>
      <w:rFonts w:ascii="方正小标宋简体" w:hAnsi="Calibri" w:eastAsia="方正小标宋简体" w:cs="Times New Roman"/>
      <w:b/>
      <w:bCs/>
      <w:caps/>
      <w:color w:val="000000"/>
      <w:sz w:val="32"/>
      <w:szCs w:val="52"/>
    </w:rPr>
  </w:style>
  <w:style w:type="paragraph" w:styleId="19">
    <w:name w:val="toc 4"/>
    <w:basedOn w:val="1"/>
    <w:next w:val="1"/>
    <w:uiPriority w:val="39"/>
    <w:pPr>
      <w:ind w:left="630"/>
      <w:jc w:val="left"/>
    </w:pPr>
    <w:rPr>
      <w:rFonts w:ascii="Calibri" w:hAnsi="Calibri" w:eastAsia="宋体" w:cs="Times New Roman"/>
      <w:sz w:val="18"/>
      <w:szCs w:val="18"/>
    </w:rPr>
  </w:style>
  <w:style w:type="paragraph" w:styleId="20">
    <w:name w:val="toc 6"/>
    <w:basedOn w:val="1"/>
    <w:next w:val="1"/>
    <w:qFormat/>
    <w:uiPriority w:val="39"/>
    <w:pPr>
      <w:ind w:left="1050"/>
      <w:jc w:val="left"/>
    </w:pPr>
    <w:rPr>
      <w:rFonts w:ascii="Calibri" w:hAnsi="Calibri" w:eastAsia="宋体" w:cs="Times New Roman"/>
      <w:sz w:val="18"/>
      <w:szCs w:val="18"/>
    </w:rPr>
  </w:style>
  <w:style w:type="paragraph" w:styleId="21">
    <w:name w:val="toc 2"/>
    <w:basedOn w:val="1"/>
    <w:next w:val="1"/>
    <w:qFormat/>
    <w:uiPriority w:val="39"/>
    <w:pPr>
      <w:ind w:left="210"/>
      <w:jc w:val="left"/>
    </w:pPr>
    <w:rPr>
      <w:rFonts w:ascii="Calibri" w:hAnsi="Calibri" w:eastAsia="宋体" w:cs="Times New Roman"/>
      <w:smallCaps/>
      <w:sz w:val="20"/>
      <w:szCs w:val="20"/>
    </w:rPr>
  </w:style>
  <w:style w:type="paragraph" w:styleId="22">
    <w:name w:val="toc 9"/>
    <w:basedOn w:val="1"/>
    <w:next w:val="1"/>
    <w:uiPriority w:val="39"/>
    <w:pPr>
      <w:ind w:left="1680"/>
      <w:jc w:val="left"/>
    </w:pPr>
    <w:rPr>
      <w:rFonts w:ascii="Calibri" w:hAnsi="Calibri" w:eastAsia="宋体" w:cs="Times New Roman"/>
      <w:sz w:val="18"/>
      <w:szCs w:val="18"/>
    </w:r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annotation subject"/>
    <w:basedOn w:val="9"/>
    <w:next w:val="9"/>
    <w:link w:val="47"/>
    <w:qFormat/>
    <w:uiPriority w:val="0"/>
    <w:rPr>
      <w:b/>
      <w:bCs/>
    </w:rPr>
  </w:style>
  <w:style w:type="table" w:styleId="26">
    <w:name w:val="Table Grid"/>
    <w:basedOn w:val="25"/>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0"/>
    <w:rPr>
      <w:b/>
      <w:bCs/>
    </w:rPr>
  </w:style>
  <w:style w:type="character" w:styleId="29">
    <w:name w:val="page number"/>
    <w:basedOn w:val="27"/>
    <w:uiPriority w:val="0"/>
  </w:style>
  <w:style w:type="character" w:styleId="30">
    <w:name w:val="Emphasis"/>
    <w:qFormat/>
    <w:uiPriority w:val="20"/>
    <w:rPr>
      <w:i/>
      <w:iCs/>
    </w:rPr>
  </w:style>
  <w:style w:type="character" w:styleId="31">
    <w:name w:val="Hyperlink"/>
    <w:qFormat/>
    <w:uiPriority w:val="99"/>
    <w:rPr>
      <w:color w:val="0000FF"/>
      <w:u w:val="single"/>
    </w:rPr>
  </w:style>
  <w:style w:type="character" w:styleId="32">
    <w:name w:val="annotation reference"/>
    <w:qFormat/>
    <w:uiPriority w:val="0"/>
    <w:rPr>
      <w:sz w:val="21"/>
      <w:szCs w:val="21"/>
    </w:rPr>
  </w:style>
  <w:style w:type="table" w:customStyle="1" w:styleId="33">
    <w:name w:val="三线表"/>
    <w:basedOn w:val="25"/>
    <w:qFormat/>
    <w:uiPriority w:val="99"/>
    <w:tblPr>
      <w:tblBorders>
        <w:top w:val="single" w:color="auto" w:sz="12" w:space="0"/>
        <w:bottom w:val="single" w:color="auto" w:sz="12" w:space="0"/>
      </w:tblBorders>
      <w:tblCellMar>
        <w:top w:w="0" w:type="dxa"/>
        <w:left w:w="108" w:type="dxa"/>
        <w:bottom w:w="0" w:type="dxa"/>
        <w:right w:w="108" w:type="dxa"/>
      </w:tblCellMar>
    </w:tblPr>
    <w:tblStylePr w:type="firstRow">
      <w:tcPr>
        <w:tcBorders>
          <w:top w:val="single" w:color="auto" w:sz="12" w:space="0"/>
          <w:left w:val="nil"/>
          <w:bottom w:val="single" w:color="auto" w:sz="8" w:space="0"/>
          <w:right w:val="nil"/>
          <w:insideH w:val="nil"/>
          <w:insideV w:val="nil"/>
          <w:tl2br w:val="nil"/>
          <w:tr2bl w:val="nil"/>
        </w:tcBorders>
      </w:tcPr>
    </w:tblStylePr>
  </w:style>
  <w:style w:type="paragraph" w:styleId="34">
    <w:name w:val="List Paragraph"/>
    <w:basedOn w:val="1"/>
    <w:qFormat/>
    <w:uiPriority w:val="34"/>
    <w:pPr>
      <w:ind w:firstLine="420" w:firstLineChars="200"/>
    </w:pPr>
  </w:style>
  <w:style w:type="character" w:customStyle="1" w:styleId="35">
    <w:name w:val="标题 1 Char"/>
    <w:basedOn w:val="27"/>
    <w:link w:val="2"/>
    <w:uiPriority w:val="9"/>
    <w:rPr>
      <w:rFonts w:ascii="Times New Roman" w:hAnsi="Times New Roman" w:eastAsia="宋体" w:cs="Times New Roman"/>
      <w:b/>
      <w:bCs/>
      <w:kern w:val="44"/>
      <w:sz w:val="44"/>
      <w:szCs w:val="44"/>
    </w:rPr>
  </w:style>
  <w:style w:type="character" w:customStyle="1" w:styleId="36">
    <w:name w:val="标题 2 Char"/>
    <w:basedOn w:val="27"/>
    <w:link w:val="3"/>
    <w:uiPriority w:val="0"/>
    <w:rPr>
      <w:rFonts w:ascii="Cambria" w:hAnsi="Cambria" w:eastAsia="宋体" w:cs="Times New Roman"/>
      <w:b/>
      <w:bCs/>
      <w:sz w:val="32"/>
      <w:szCs w:val="32"/>
    </w:rPr>
  </w:style>
  <w:style w:type="character" w:customStyle="1" w:styleId="37">
    <w:name w:val="标题 3 Char"/>
    <w:basedOn w:val="27"/>
    <w:semiHidden/>
    <w:uiPriority w:val="0"/>
    <w:rPr>
      <w:b/>
      <w:bCs/>
      <w:sz w:val="32"/>
      <w:szCs w:val="32"/>
    </w:rPr>
  </w:style>
  <w:style w:type="character" w:customStyle="1" w:styleId="38">
    <w:name w:val="标题 4 Char"/>
    <w:basedOn w:val="27"/>
    <w:link w:val="5"/>
    <w:uiPriority w:val="0"/>
    <w:rPr>
      <w:rFonts w:ascii="Cambria" w:hAnsi="Cambria" w:eastAsia="宋体" w:cs="Times New Roman"/>
      <w:b/>
      <w:bCs/>
      <w:sz w:val="28"/>
      <w:szCs w:val="28"/>
    </w:rPr>
  </w:style>
  <w:style w:type="character" w:customStyle="1" w:styleId="39">
    <w:name w:val="标题 3 Char1"/>
    <w:link w:val="4"/>
    <w:uiPriority w:val="0"/>
    <w:rPr>
      <w:rFonts w:ascii="Times New Roman" w:hAnsi="Times New Roman" w:eastAsia="宋体" w:cs="Times New Roman"/>
      <w:b/>
      <w:bCs/>
      <w:sz w:val="32"/>
      <w:szCs w:val="32"/>
    </w:rPr>
  </w:style>
  <w:style w:type="character" w:customStyle="1" w:styleId="40">
    <w:name w:val="文档结构图 Char"/>
    <w:basedOn w:val="27"/>
    <w:link w:val="8"/>
    <w:semiHidden/>
    <w:uiPriority w:val="0"/>
    <w:rPr>
      <w:rFonts w:ascii="Times New Roman" w:hAnsi="Times New Roman" w:eastAsia="宋体" w:cs="Times New Roman"/>
      <w:szCs w:val="24"/>
      <w:shd w:val="clear" w:color="auto" w:fill="000080"/>
    </w:rPr>
  </w:style>
  <w:style w:type="character" w:customStyle="1" w:styleId="41">
    <w:name w:val="页脚 Char"/>
    <w:basedOn w:val="27"/>
    <w:link w:val="16"/>
    <w:qFormat/>
    <w:uiPriority w:val="99"/>
    <w:rPr>
      <w:rFonts w:ascii="Times New Roman" w:hAnsi="Times New Roman" w:eastAsia="宋体" w:cs="Times New Roman"/>
      <w:sz w:val="18"/>
      <w:szCs w:val="18"/>
    </w:rPr>
  </w:style>
  <w:style w:type="character" w:customStyle="1" w:styleId="42">
    <w:name w:val="页眉 Char"/>
    <w:basedOn w:val="27"/>
    <w:link w:val="17"/>
    <w:qFormat/>
    <w:uiPriority w:val="99"/>
    <w:rPr>
      <w:rFonts w:ascii="Times New Roman" w:hAnsi="Times New Roman" w:eastAsia="宋体" w:cs="Times New Roman"/>
      <w:sz w:val="18"/>
      <w:szCs w:val="18"/>
    </w:rPr>
  </w:style>
  <w:style w:type="character" w:customStyle="1" w:styleId="43">
    <w:name w:val="批注框文本 Char"/>
    <w:basedOn w:val="27"/>
    <w:link w:val="15"/>
    <w:semiHidden/>
    <w:uiPriority w:val="0"/>
    <w:rPr>
      <w:rFonts w:ascii="Times New Roman" w:hAnsi="Times New Roman" w:eastAsia="宋体" w:cs="Times New Roman"/>
      <w:sz w:val="18"/>
      <w:szCs w:val="18"/>
    </w:rPr>
  </w:style>
  <w:style w:type="character" w:customStyle="1" w:styleId="44">
    <w:name w:val="正文文本 Char"/>
    <w:basedOn w:val="27"/>
    <w:link w:val="10"/>
    <w:qFormat/>
    <w:uiPriority w:val="0"/>
    <w:rPr>
      <w:rFonts w:ascii="Times New Roman" w:hAnsi="Times New Roman" w:eastAsia="宋体" w:cs="Times New Roman"/>
      <w:szCs w:val="20"/>
    </w:rPr>
  </w:style>
  <w:style w:type="character" w:customStyle="1" w:styleId="45">
    <w:name w:val="纯文本 Char"/>
    <w:basedOn w:val="27"/>
    <w:link w:val="13"/>
    <w:qFormat/>
    <w:uiPriority w:val="0"/>
    <w:rPr>
      <w:rFonts w:ascii="宋体" w:hAnsi="Courier New" w:eastAsia="宋体" w:cs="Times New Roman"/>
      <w:szCs w:val="20"/>
    </w:rPr>
  </w:style>
  <w:style w:type="character" w:customStyle="1" w:styleId="46">
    <w:name w:val="批注文字 Char"/>
    <w:basedOn w:val="27"/>
    <w:link w:val="9"/>
    <w:qFormat/>
    <w:uiPriority w:val="0"/>
    <w:rPr>
      <w:rFonts w:ascii="Times New Roman" w:hAnsi="Times New Roman" w:eastAsia="宋体" w:cs="Times New Roman"/>
      <w:szCs w:val="24"/>
    </w:rPr>
  </w:style>
  <w:style w:type="character" w:customStyle="1" w:styleId="47">
    <w:name w:val="批注主题 Char"/>
    <w:basedOn w:val="46"/>
    <w:link w:val="24"/>
    <w:qFormat/>
    <w:uiPriority w:val="0"/>
    <w:rPr>
      <w:rFonts w:ascii="Times New Roman" w:hAnsi="Times New Roman" w:eastAsia="宋体" w:cs="Times New Roman"/>
      <w:b/>
      <w:bCs/>
      <w:szCs w:val="24"/>
    </w:rPr>
  </w:style>
  <w:style w:type="paragraph" w:customStyle="1" w:styleId="48">
    <w:name w:val="样式 标题 2 + 四号 段前: 6 磅 段后: 6 磅 行距: 多倍行距 1.73 字行"/>
    <w:basedOn w:val="3"/>
    <w:qFormat/>
    <w:uiPriority w:val="0"/>
    <w:pPr>
      <w:tabs>
        <w:tab w:val="left" w:pos="0"/>
      </w:tabs>
      <w:spacing w:before="60" w:after="0" w:line="440" w:lineRule="exact"/>
      <w:ind w:left="340" w:hanging="240"/>
    </w:pPr>
    <w:rPr>
      <w:rFonts w:ascii="Arial" w:hAnsi="Arial" w:cs="宋体"/>
      <w:b w:val="0"/>
      <w:sz w:val="21"/>
      <w:szCs w:val="24"/>
      <w:lang w:val="zh-CN" w:eastAsia="zh-CN"/>
    </w:rPr>
  </w:style>
  <w:style w:type="paragraph" w:customStyle="1" w:styleId="49">
    <w:name w:val="表格内容"/>
    <w:basedOn w:val="1"/>
    <w:link w:val="50"/>
    <w:qFormat/>
    <w:uiPriority w:val="0"/>
    <w:rPr>
      <w:rFonts w:ascii="Times New Roman" w:hAnsi="Times New Roman" w:eastAsia="宋体" w:cs="Times New Roman"/>
      <w:sz w:val="24"/>
    </w:rPr>
  </w:style>
  <w:style w:type="character" w:customStyle="1" w:styleId="50">
    <w:name w:val="表格内容 Char"/>
    <w:link w:val="49"/>
    <w:qFormat/>
    <w:uiPriority w:val="0"/>
    <w:rPr>
      <w:rFonts w:ascii="Times New Roman" w:hAnsi="Times New Roman" w:eastAsia="宋体" w:cs="Times New Roman"/>
      <w:sz w:val="24"/>
    </w:rPr>
  </w:style>
  <w:style w:type="character" w:customStyle="1" w:styleId="51">
    <w:name w:val="标题 4 字符"/>
    <w:qFormat/>
    <w:uiPriority w:val="0"/>
    <w:rPr>
      <w:rFonts w:ascii="Cambria" w:hAnsi="Cambria"/>
      <w:b/>
      <w:bCs/>
      <w:kern w:val="2"/>
      <w:sz w:val="28"/>
      <w:szCs w:val="28"/>
    </w:rPr>
  </w:style>
  <w:style w:type="paragraph" w:customStyle="1" w:styleId="52">
    <w:name w:val="TOC Heading"/>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53">
    <w:name w:val="Default"/>
    <w:qFormat/>
    <w:uiPriority w:val="0"/>
    <w:pPr>
      <w:widowControl w:val="0"/>
      <w:autoSpaceDE w:val="0"/>
      <w:autoSpaceDN w:val="0"/>
      <w:adjustRightInd w:val="0"/>
    </w:pPr>
    <w:rPr>
      <w:rFonts w:ascii="仿宋_GB2312" w:eastAsia="仿宋_GB2312" w:cs="仿宋_GB2312" w:hAnsiTheme="minorHAnsi"/>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565</Words>
  <Characters>3227</Characters>
  <Lines>26</Lines>
  <Paragraphs>7</Paragraphs>
  <TotalTime>134</TotalTime>
  <ScaleCrop>false</ScaleCrop>
  <LinksUpToDate>false</LinksUpToDate>
  <CharactersWithSpaces>3785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2020-08-18T02:03:00Z</dcterms:created>
  <dc:creator>zhu lonib</dc:creator>
  <cp:lastModifiedBy>心情好天天向上棒棒哒</cp:lastModifiedBy>
  <dcterms:modified xsi:type="dcterms:W3CDTF">2020-08-20T09:05:37Z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