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</w:t>
      </w:r>
    </w:p>
    <w:p>
      <w:pPr>
        <w:pStyle w:val="2"/>
        <w:numPr>
          <w:ilvl w:val="0"/>
          <w:numId w:val="0"/>
        </w:numPr>
        <w:spacing w:before="3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2021年“质量月活动”暨住宅工程质量提升专项检查给予通报批评项目及主体单位情况</w:t>
      </w:r>
      <w:r>
        <w:rPr>
          <w:rFonts w:hint="eastAsia" w:ascii="仿宋" w:hAnsi="仿宋" w:eastAsia="仿宋" w:cs="仿宋"/>
          <w:b/>
          <w:bCs/>
        </w:rPr>
        <w:t>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90"/>
        <w:gridCol w:w="4979"/>
        <w:gridCol w:w="4561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97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主体单位</w:t>
            </w:r>
          </w:p>
        </w:tc>
        <w:tc>
          <w:tcPr>
            <w:tcW w:w="4561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阳光·青江壹号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乐山阳光大地置业有限公司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乐山阳光大地建筑工程有限公司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监理单位：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中创名建工程管理集团有限公司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1.3号楼地下室部分主楼与纯地下室交界处顶板出现多处裂缝；3号楼地下室底板局部有露筋现象。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2.局部地下室侧墙防水卷材破损。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3.后浇带回顶支撑未见扫地杆。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4.砂浆池未采取防晴雨措施。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5.4#楼9号房主卧室飘窗处与审查合格的图纸不符，未按图施工。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和喜·玖熙府一期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乐山和喜安筑房地产开发有限公司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乐山市永业建筑工程有限公司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监理单位：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四川精正建设管理咨询有限公司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1.13#、14#楼验槽，设计、勘察、监理单位项目负责人未到场。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2.肥槽回填材料不符合要求，局部防水保护层已被破坏。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3.6#楼楼板钢筋有效截面尺寸不满足设计要求。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4.部分大于1.2m窗洞口未设置边框。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碧桂园·青江府一期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乐山市碧盛房地产开发有限公司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四川辉航建筑工程有限公司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监理单位：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中道明华建设项目咨询集团有限责任公司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未严格执行质量常见问题治理方案。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存在多处楼板裂缝、露筋情况。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利嘉加油站原址重建项目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中国石化销售股份有限公司四川乐山石油分公司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四川省泸县加明建筑工程有限公司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监理单位：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四川众辉项目管理咨询有限公司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超过一定规模的二次装修未按基本建设程序办理相关手续。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擅自更改施工图设计，擅自改变站房用途。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消防自验收不合格。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未组织竣工验收擅自投入使用。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领地·蘭台府三期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乐山领悦房地产有限公司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中亚建业建设工程有限公司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监理单位：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/>
              </w:rPr>
              <w:t>四川省兴恒信项目管理咨询有限公司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_GB2312" w:cs="仿宋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2#楼、3#楼、10#楼、17#-2和18#楼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部分隔墙未按设计图纸要求进行砌筑，且未见设计变更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弘祥公寓B区商住小区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：王世福、高妙、胡睿琪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施工单位：四川飞泰建筑工程有限公司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监理单位：四川明力建设工程项目管理有限公司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_GB2312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现场检查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项目监理单位到岗履职人员仅一名专业监理工程师，未见总监理工程师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及其他监理人员。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数字化食品智能制造产业园（一期）项目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建设单位：四川以牛科技有限公司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施工单位：乐山南岸建筑有限公司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监理单位：中鸿汉莎建设有限公司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在厂房钢结构吊装过程中，未见监理人员在岗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旁站监理，对重要工序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施工质量安全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未履职到位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凤凰国际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一二期项目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四川鸿博置业有限公司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施工单位：江西建工第三建筑有限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监理单位：晨越建设项目管理集团股份有限公司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1.已交付使用的商业部分，地面沉陷、外墙瓷砖脱落严重，未及时履行维保义务。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精装修住宅渗漏严重，装修、安装工程投诉多，未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未及时履行维保义务。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世豪广场综合体A区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乐山金怡源置业有限公司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江苏中南建筑产业集团有限责任公司、中建五局第三建设有限公司</w:t>
            </w:r>
          </w:p>
        </w:tc>
        <w:tc>
          <w:tcPr>
            <w:tcW w:w="4561" w:type="dxa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22" w:beforeAutospacing="0" w:after="0" w:afterAutospacing="0" w:line="348" w:lineRule="exact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对业主委员会反映已交付使用的小区屋面和地下车库漏水、商业外地面沉降、墙体裂缝等质量缺陷未及时履行维保义务。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2790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珺御府一期</w:t>
            </w:r>
          </w:p>
        </w:tc>
        <w:tc>
          <w:tcPr>
            <w:tcW w:w="4979" w:type="dxa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建设单位：乐山美嘉房地产开发有限公司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施工单位：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中建二局第二建筑工程有限公司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监理单位：中鸿亿博集团有限公司</w:t>
            </w:r>
          </w:p>
        </w:tc>
        <w:tc>
          <w:tcPr>
            <w:tcW w:w="4561" w:type="dxa"/>
          </w:tcPr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540" w:lineRule="exact"/>
              <w:ind w:left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砌体填充墙未按照施工技术标准进行施工。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540" w:lineRule="exact"/>
              <w:ind w:left="0" w:right="0" w:right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在交付使用整改期间，施工单位擅自整改施工，未实施整改样板间、未经业主同意确认，未按照与业主代表协商的流程进行整改，造成不良的社会影响。</w:t>
            </w:r>
          </w:p>
        </w:tc>
        <w:tc>
          <w:tcPr>
            <w:tcW w:w="1109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3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3"/>
        <w:rPr>
          <w:rFonts w:hint="eastAsia" w:ascii="仿宋" w:hAnsi="仿宋" w:eastAsia="仿宋" w:cs="仿宋"/>
          <w:lang w:val="en-US" w:eastAsia="zh-CN"/>
        </w:rPr>
      </w:pPr>
    </w:p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577353"/>
    <w:multiLevelType w:val="singleLevel"/>
    <w:tmpl w:val="595773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D7B27"/>
    <w:rsid w:val="228E6F97"/>
    <w:rsid w:val="403E6E2D"/>
    <w:rsid w:val="4C36572C"/>
    <w:rsid w:val="50E37898"/>
    <w:rsid w:val="5A591173"/>
    <w:rsid w:val="5F9D6183"/>
    <w:rsid w:val="67CD6D49"/>
    <w:rsid w:val="67D0330B"/>
    <w:rsid w:val="69C401CF"/>
    <w:rsid w:val="75BA1116"/>
    <w:rsid w:val="783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1">
    <w:name w:val="HTML Cite"/>
    <w:basedOn w:val="5"/>
    <w:uiPriority w:val="0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3">
    <w:name w:val="nth-of-type(3)"/>
    <w:basedOn w:val="5"/>
    <w:qFormat/>
    <w:uiPriority w:val="0"/>
  </w:style>
  <w:style w:type="character" w:customStyle="1" w:styleId="14">
    <w:name w:val="credit_name_pad"/>
    <w:basedOn w:val="5"/>
    <w:qFormat/>
    <w:uiPriority w:val="0"/>
  </w:style>
  <w:style w:type="character" w:customStyle="1" w:styleId="15">
    <w:name w:val="hover55"/>
    <w:basedOn w:val="5"/>
    <w:qFormat/>
    <w:uiPriority w:val="0"/>
    <w:rPr>
      <w:color w:val="348BDA"/>
    </w:rPr>
  </w:style>
  <w:style w:type="character" w:customStyle="1" w:styleId="16">
    <w:name w:val="nth-of-type(1)"/>
    <w:basedOn w:val="5"/>
    <w:qFormat/>
    <w:uiPriority w:val="0"/>
  </w:style>
  <w:style w:type="character" w:customStyle="1" w:styleId="17">
    <w:name w:val="first-child1"/>
    <w:basedOn w:val="5"/>
    <w:uiPriority w:val="0"/>
  </w:style>
  <w:style w:type="character" w:customStyle="1" w:styleId="18">
    <w:name w:val="first-child2"/>
    <w:basedOn w:val="5"/>
    <w:uiPriority w:val="0"/>
  </w:style>
  <w:style w:type="character" w:customStyle="1" w:styleId="19">
    <w:name w:val="nth-of-type(2)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hover54"/>
    <w:basedOn w:val="5"/>
    <w:qFormat/>
    <w:uiPriority w:val="0"/>
    <w:rPr>
      <w:color w:val="348BDA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hover48"/>
    <w:basedOn w:val="5"/>
    <w:qFormat/>
    <w:uiPriority w:val="0"/>
    <w:rPr>
      <w:color w:val="348BDA"/>
    </w:rPr>
  </w:style>
  <w:style w:type="character" w:customStyle="1" w:styleId="25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1747</Words>
  <Characters>1793</Characters>
  <Paragraphs>137</Paragraphs>
  <TotalTime>46</TotalTime>
  <ScaleCrop>false</ScaleCrop>
  <LinksUpToDate>false</LinksUpToDate>
  <CharactersWithSpaces>1794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2021-09-22T03:44:00Z</dcterms:created>
  <dc:creator>峰回路转</dc:creator>
  <cp:lastModifiedBy>超</cp:lastModifiedBy>
  <dcterms:modified xsi:type="dcterms:W3CDTF">2021-09-27T06:06:39Z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84F953421F11463B9906905EEE27977C</vt:lpwstr>
  </property>
</Properties>
</file>