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both"/>
        <w:rPr>
          <w:rFonts w:hint="eastAsia" w:ascii="方正细黑一_GBK" w:hAnsi="方正细黑一_GBK" w:eastAsia="方正细黑一_GBK" w:cs="方正细黑一_GBK"/>
          <w:color w:val="auto"/>
          <w:sz w:val="30"/>
          <w:szCs w:val="30"/>
          <w:lang w:eastAsia="zh-CN"/>
        </w:rPr>
      </w:pPr>
      <w:r>
        <w:rPr>
          <w:rFonts w:hint="eastAsia" w:ascii="方正细黑一_GBK" w:hAnsi="方正细黑一_GBK" w:eastAsia="方正细黑一_GBK" w:cs="方正细黑一_GBK"/>
          <w:color w:val="auto"/>
          <w:sz w:val="30"/>
          <w:szCs w:val="30"/>
          <w:lang w:eastAsia="zh-CN"/>
        </w:rPr>
        <w:t>附件</w:t>
      </w:r>
    </w:p>
    <w:p>
      <w:pPr>
        <w:snapToGrid w:val="0"/>
        <w:spacing w:line="540" w:lineRule="exact"/>
        <w:jc w:val="center"/>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乐山市施工图审查机构</w:t>
      </w:r>
    </w:p>
    <w:p>
      <w:pPr>
        <w:snapToGrid w:val="0"/>
        <w:spacing w:line="540" w:lineRule="exact"/>
        <w:jc w:val="center"/>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信用综合管理办法（征求意见稿）</w:t>
      </w:r>
    </w:p>
    <w:p>
      <w:pPr>
        <w:snapToGrid w:val="0"/>
        <w:spacing w:line="540" w:lineRule="exact"/>
        <w:jc w:val="center"/>
        <w:rPr>
          <w:rFonts w:hint="eastAsia" w:ascii="Times New Roman" w:eastAsia="方正小标宋简体" w:cs="Times New Roman"/>
          <w:color w:val="auto"/>
          <w:sz w:val="40"/>
          <w:szCs w:val="40"/>
          <w:lang w:eastAsia="zh-CN"/>
        </w:rPr>
      </w:pPr>
    </w:p>
    <w:p>
      <w:pPr>
        <w:pStyle w:val="3"/>
        <w:keepNext w:val="0"/>
        <w:keepLines w:val="0"/>
        <w:pageBreakBefore w:val="0"/>
        <w:kinsoku/>
        <w:wordWrap/>
        <w:overflowPunct/>
        <w:topLinePunct w:val="0"/>
        <w:autoSpaceDE/>
        <w:autoSpaceDN/>
        <w:bidi w:val="0"/>
        <w:adjustRightInd/>
        <w:spacing w:before="0" w:beforeAutospacing="0" w:after="0" w:afterAutospacing="0" w:line="580" w:lineRule="exact"/>
        <w:jc w:val="center"/>
        <w:textAlignment w:val="auto"/>
        <w:rPr>
          <w:rFonts w:ascii="Times New Roman" w:eastAsia="仿宋_GB2312" w:cs="Times New Roman"/>
          <w:color w:val="auto"/>
          <w:sz w:val="32"/>
          <w:szCs w:val="32"/>
        </w:rPr>
      </w:pPr>
      <w:r>
        <w:rPr>
          <w:rFonts w:ascii="Times New Roman" w:hAnsi="Times New Roman" w:eastAsia="黑体" w:cs="Times New Roman"/>
          <w:color w:val="auto"/>
          <w:sz w:val="32"/>
          <w:szCs w:val="32"/>
        </w:rPr>
        <w:t>第一章 总则</w:t>
      </w:r>
    </w:p>
    <w:p>
      <w:pPr>
        <w:keepNext w:val="0"/>
        <w:keepLines w:val="0"/>
        <w:pageBreakBefore w:val="0"/>
        <w:shd w:val="clear"/>
        <w:kinsoku/>
        <w:wordWrap/>
        <w:overflowPunct/>
        <w:topLinePunct w:val="0"/>
        <w:autoSpaceDE/>
        <w:autoSpaceDN/>
        <w:bidi w:val="0"/>
        <w:adjustRightInd/>
        <w:spacing w:line="580" w:lineRule="exact"/>
        <w:ind w:firstLine="633" w:firstLineChars="198"/>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第一条</w:t>
      </w:r>
      <w:r>
        <w:rPr>
          <w:rStyle w:val="7"/>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color w:val="auto"/>
          <w:sz w:val="32"/>
          <w:szCs w:val="32"/>
        </w:rPr>
        <w:t>为推进我市施工图审查行业信用体系建设，维护市场秩序，促进施工图审查机构依法诚信经营，确保勘察设计文件审查质量，根据《房屋建筑和市政基础设施工程施工图设计文件审查管理办法》（住建部令第13号）《建筑市场信用管理暂行办法》《关于进一步加强房屋建筑和市政基础设施施工图审查管理工作的通知》（川建行规〔2020〕15号）</w:t>
      </w:r>
      <w:r>
        <w:rPr>
          <w:rFonts w:hint="eastAsia" w:ascii="仿宋_GB2312" w:hAnsi="仿宋_GB2312" w:eastAsia="仿宋_GB2312" w:cs="仿宋_GB2312"/>
          <w:color w:val="auto"/>
          <w:kern w:val="0"/>
          <w:sz w:val="32"/>
          <w:szCs w:val="32"/>
        </w:rPr>
        <w:t>《关于加快推进社会信用体系建设构建以信用为基础的新型监管机制的指导意见》（国办发〔2019〕35号）</w:t>
      </w:r>
      <w:r>
        <w:rPr>
          <w:rFonts w:hint="eastAsia" w:ascii="仿宋_GB2312" w:hAnsi="仿宋_GB2312" w:eastAsia="仿宋_GB2312" w:cs="仿宋_GB2312"/>
          <w:color w:val="auto"/>
          <w:sz w:val="32"/>
          <w:szCs w:val="32"/>
        </w:rPr>
        <w:t>等有关规定，结合我市实际，制定本办法。</w:t>
      </w:r>
    </w:p>
    <w:p>
      <w:pPr>
        <w:keepNext w:val="0"/>
        <w:keepLines w:val="0"/>
        <w:pageBreakBefore w:val="0"/>
        <w:shd w:val="clea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第二条</w:t>
      </w:r>
      <w:r>
        <w:rPr>
          <w:rFonts w:hint="eastAsia" w:ascii="仿宋_GB2312" w:hAnsi="仿宋_GB2312" w:eastAsia="仿宋_GB2312" w:cs="仿宋_GB2312"/>
          <w:color w:val="auto"/>
          <w:sz w:val="32"/>
          <w:szCs w:val="32"/>
        </w:rPr>
        <w:t xml:space="preserve"> 在本市行政区域内，施工图审查机构从事房屋建筑和市政基础设施工程（不含城市轨道交通工程，下同）施工图审查活动中的信用信息采集、审核、录入、评价、发布及应用，适用本办法。</w:t>
      </w:r>
    </w:p>
    <w:p>
      <w:pPr>
        <w:pStyle w:val="10"/>
        <w:keepNext w:val="0"/>
        <w:keepLines w:val="0"/>
        <w:pageBreakBefore w:val="0"/>
        <w:widowControl w:val="0"/>
        <w:kinsoku/>
        <w:wordWrap/>
        <w:overflowPunct/>
        <w:topLinePunct w:val="0"/>
        <w:autoSpaceDE/>
        <w:autoSpaceDN/>
        <w:bidi w:val="0"/>
        <w:adjustRightInd/>
        <w:spacing w:line="580" w:lineRule="exact"/>
        <w:ind w:firstLine="646" w:firstLineChars="20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本办法所称信用评价是指对施工图审查机构</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基本信息、良好行为和不良行为进行量化打分，以动态化、数量化的方式核定其信用分值，并根据评价结果进行差异化管理的活动。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第三条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乐山市建筑业协会</w:t>
      </w:r>
      <w:r>
        <w:rPr>
          <w:rFonts w:hint="eastAsia" w:ascii="仿宋_GB2312" w:hAnsi="仿宋_GB2312" w:eastAsia="仿宋_GB2312" w:cs="仿宋_GB2312"/>
          <w:color w:val="auto"/>
          <w:sz w:val="32"/>
          <w:szCs w:val="32"/>
        </w:rPr>
        <w:t>负责施工图审查机构信用评价的综合管理和协调工作，统一发布信用</w:t>
      </w:r>
      <w:r>
        <w:rPr>
          <w:rFonts w:hint="eastAsia" w:ascii="仿宋_GB2312" w:hAnsi="仿宋_GB2312" w:eastAsia="仿宋_GB2312" w:cs="仿宋_GB2312"/>
          <w:color w:val="auto"/>
          <w:sz w:val="32"/>
          <w:szCs w:val="32"/>
          <w:lang w:eastAsia="zh-CN"/>
        </w:rPr>
        <w:t>信息综合</w:t>
      </w:r>
      <w:r>
        <w:rPr>
          <w:rFonts w:hint="eastAsia" w:ascii="仿宋_GB2312" w:hAnsi="仿宋_GB2312" w:eastAsia="仿宋_GB2312" w:cs="仿宋_GB2312"/>
          <w:color w:val="auto"/>
          <w:sz w:val="32"/>
          <w:szCs w:val="32"/>
        </w:rPr>
        <w:t>评价结果。</w:t>
      </w:r>
      <w:r>
        <w:rPr>
          <w:rFonts w:hint="eastAsia" w:ascii="仿宋_GB2312" w:hAnsi="仿宋_GB2312" w:eastAsia="仿宋_GB2312" w:cs="仿宋_GB2312"/>
          <w:color w:val="auto"/>
          <w:kern w:val="2"/>
          <w:sz w:val="32"/>
          <w:szCs w:val="32"/>
          <w:shd w:val="clear" w:color="auto" w:fill="FFFFFF"/>
        </w:rPr>
        <w:t>市</w:t>
      </w:r>
      <w:r>
        <w:rPr>
          <w:rFonts w:hint="eastAsia" w:ascii="仿宋_GB2312" w:hAnsi="仿宋_GB2312" w:eastAsia="仿宋_GB2312" w:cs="仿宋_GB2312"/>
          <w:color w:val="auto"/>
          <w:sz w:val="32"/>
          <w:szCs w:val="32"/>
          <w:shd w:val="clear" w:color="auto" w:fill="FFFFFF"/>
          <w:lang w:val="en-US" w:eastAsia="zh-CN"/>
        </w:rPr>
        <w:t>住房城乡</w:t>
      </w:r>
      <w:r>
        <w:rPr>
          <w:rFonts w:hint="eastAsia" w:ascii="仿宋_GB2312" w:hAnsi="仿宋_GB2312" w:eastAsia="仿宋_GB2312" w:cs="仿宋_GB2312"/>
          <w:color w:val="auto"/>
          <w:sz w:val="32"/>
          <w:szCs w:val="32"/>
          <w:shd w:val="clear" w:color="auto" w:fill="FFFFFF"/>
        </w:rPr>
        <w:t>建设行政主管部门</w:t>
      </w:r>
      <w:r>
        <w:rPr>
          <w:rFonts w:hint="eastAsia" w:ascii="仿宋_GB2312" w:hAnsi="仿宋_GB2312" w:eastAsia="仿宋_GB2312" w:cs="仿宋_GB2312"/>
          <w:color w:val="auto"/>
          <w:kern w:val="2"/>
          <w:sz w:val="32"/>
          <w:szCs w:val="32"/>
          <w:shd w:val="clear" w:color="auto" w:fill="FFFFFF"/>
        </w:rPr>
        <w:t>对全市</w:t>
      </w:r>
      <w:r>
        <w:rPr>
          <w:rFonts w:hint="eastAsia" w:ascii="仿宋_GB2312" w:hAnsi="仿宋_GB2312" w:eastAsia="仿宋_GB2312" w:cs="仿宋_GB2312"/>
          <w:color w:val="auto"/>
          <w:sz w:val="32"/>
          <w:szCs w:val="32"/>
        </w:rPr>
        <w:t>施工图审查机构</w:t>
      </w:r>
      <w:r>
        <w:rPr>
          <w:rFonts w:hint="eastAsia" w:ascii="仿宋_GB2312" w:hAnsi="仿宋_GB2312" w:eastAsia="仿宋_GB2312" w:cs="仿宋_GB2312"/>
          <w:color w:val="auto"/>
          <w:kern w:val="2"/>
          <w:sz w:val="32"/>
          <w:szCs w:val="32"/>
          <w:shd w:val="clear" w:color="auto" w:fill="FFFFFF"/>
        </w:rPr>
        <w:t>信用综合评价工作实施监督指导</w:t>
      </w:r>
      <w:r>
        <w:rPr>
          <w:rFonts w:hint="eastAsia" w:ascii="仿宋_GB2312" w:hAnsi="仿宋_GB2312" w:eastAsia="仿宋_GB2312" w:cs="仿宋_GB2312"/>
          <w:color w:val="auto"/>
          <w:kern w:val="2"/>
          <w:sz w:val="32"/>
          <w:szCs w:val="32"/>
          <w:shd w:val="clear" w:color="auto" w:fill="FFFFFF"/>
          <w:lang w:eastAsia="zh-CN"/>
        </w:rPr>
        <w:t>。</w:t>
      </w:r>
      <w:r>
        <w:rPr>
          <w:rFonts w:hint="eastAsia" w:ascii="仿宋_GB2312" w:hAnsi="仿宋_GB2312" w:eastAsia="仿宋_GB2312" w:cs="仿宋_GB2312"/>
          <w:color w:val="auto"/>
          <w:kern w:val="2"/>
          <w:sz w:val="32"/>
          <w:szCs w:val="32"/>
          <w:shd w:val="clear" w:color="auto" w:fill="FFFFFF"/>
          <w:lang w:val="en-US" w:eastAsia="zh-CN"/>
        </w:rPr>
        <w:t>市本级和</w:t>
      </w:r>
      <w:r>
        <w:rPr>
          <w:rFonts w:hint="eastAsia" w:ascii="仿宋_GB2312" w:hAnsi="仿宋_GB2312" w:eastAsia="仿宋_GB2312" w:cs="仿宋_GB2312"/>
          <w:color w:val="auto"/>
          <w:kern w:val="2"/>
          <w:sz w:val="32"/>
          <w:szCs w:val="32"/>
          <w:shd w:val="clear" w:color="auto" w:fill="FFFFFF"/>
        </w:rPr>
        <w:t>各区县</w:t>
      </w:r>
      <w:r>
        <w:rPr>
          <w:rFonts w:hint="eastAsia" w:ascii="仿宋_GB2312" w:hAnsi="仿宋_GB2312" w:eastAsia="仿宋_GB2312" w:cs="仿宋_GB2312"/>
          <w:color w:val="auto"/>
          <w:sz w:val="32"/>
          <w:szCs w:val="32"/>
          <w:shd w:val="clear" w:color="auto" w:fill="FFFFFF"/>
          <w:lang w:val="en-US" w:eastAsia="zh-CN"/>
        </w:rPr>
        <w:t>住房城乡</w:t>
      </w:r>
      <w:r>
        <w:rPr>
          <w:rFonts w:hint="eastAsia" w:ascii="仿宋_GB2312" w:hAnsi="仿宋_GB2312" w:eastAsia="仿宋_GB2312" w:cs="仿宋_GB2312"/>
          <w:color w:val="auto"/>
          <w:sz w:val="32"/>
          <w:szCs w:val="32"/>
          <w:shd w:val="clear" w:color="auto" w:fill="FFFFFF"/>
        </w:rPr>
        <w:t>建设行政主管部门</w:t>
      </w:r>
      <w:r>
        <w:rPr>
          <w:rFonts w:hint="eastAsia" w:ascii="仿宋_GB2312" w:hAnsi="仿宋_GB2312" w:eastAsia="仿宋_GB2312" w:cs="仿宋_GB2312"/>
          <w:color w:val="auto"/>
          <w:kern w:val="2"/>
          <w:sz w:val="32"/>
          <w:szCs w:val="32"/>
          <w:shd w:val="clear" w:color="auto" w:fill="FFFFFF"/>
        </w:rPr>
        <w:t>按照属地管理原则，负责辖区内</w:t>
      </w:r>
      <w:r>
        <w:rPr>
          <w:rFonts w:hint="eastAsia" w:ascii="仿宋_GB2312" w:hAnsi="仿宋_GB2312" w:eastAsia="仿宋_GB2312" w:cs="仿宋_GB2312"/>
          <w:color w:val="auto"/>
          <w:sz w:val="32"/>
          <w:szCs w:val="32"/>
        </w:rPr>
        <w:t>施工图审查机构</w:t>
      </w:r>
      <w:r>
        <w:rPr>
          <w:rFonts w:hint="eastAsia" w:ascii="仿宋_GB2312" w:hAnsi="仿宋_GB2312" w:eastAsia="仿宋_GB2312" w:cs="仿宋_GB2312"/>
          <w:color w:val="auto"/>
          <w:kern w:val="2"/>
          <w:sz w:val="32"/>
          <w:szCs w:val="32"/>
          <w:shd w:val="clear" w:color="auto" w:fill="FFFFFF"/>
        </w:rPr>
        <w:t>信用综合评价</w:t>
      </w:r>
      <w:r>
        <w:rPr>
          <w:rFonts w:hint="eastAsia" w:ascii="仿宋_GB2312" w:hAnsi="仿宋_GB2312" w:eastAsia="仿宋_GB2312" w:cs="仿宋_GB2312"/>
          <w:color w:val="auto"/>
          <w:kern w:val="2"/>
          <w:sz w:val="32"/>
          <w:szCs w:val="32"/>
          <w:shd w:val="clear" w:color="auto" w:fill="FFFFFF"/>
          <w:lang w:val="en-US" w:eastAsia="zh-CN"/>
        </w:rPr>
        <w:t>结果的具体实施</w:t>
      </w:r>
      <w:r>
        <w:rPr>
          <w:rFonts w:hint="eastAsia" w:ascii="仿宋_GB2312" w:hAnsi="仿宋_GB2312" w:eastAsia="仿宋_GB2312" w:cs="仿宋_GB2312"/>
          <w:color w:val="auto"/>
          <w:kern w:val="2"/>
          <w:sz w:val="32"/>
          <w:szCs w:val="32"/>
          <w:shd w:val="clear" w:color="auto" w:fill="FFFFFF"/>
        </w:rPr>
        <w:t>。</w:t>
      </w:r>
    </w:p>
    <w:p>
      <w:pPr>
        <w:pStyle w:val="10"/>
        <w:keepNext w:val="0"/>
        <w:keepLines w:val="0"/>
        <w:pageBreakBefore w:val="0"/>
        <w:widowControl w:val="0"/>
        <w:kinsoku/>
        <w:wordWrap/>
        <w:overflowPunct/>
        <w:topLinePunct w:val="0"/>
        <w:autoSpaceDE/>
        <w:autoSpaceDN/>
        <w:bidi w:val="0"/>
        <w:adjustRightInd/>
        <w:spacing w:line="580" w:lineRule="exact"/>
        <w:ind w:firstLine="646" w:firstLineChars="20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第四条 凡具有独立法人资格，持有建设行政主管部门颁发的</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工程</w:t>
      </w:r>
      <w:r>
        <w:rPr>
          <w:rFonts w:hint="eastAsia" w:ascii="仿宋_GB2312" w:hAnsi="仿宋_GB2312" w:eastAsia="仿宋_GB2312" w:cs="仿宋_GB2312"/>
          <w:color w:val="auto"/>
          <w:sz w:val="32"/>
          <w:szCs w:val="32"/>
          <w:lang w:eastAsia="zh-CN"/>
        </w:rPr>
        <w:t>施工图审查</w:t>
      </w:r>
      <w:r>
        <w:rPr>
          <w:rFonts w:hint="eastAsia" w:ascii="仿宋_GB2312" w:hAnsi="仿宋_GB2312" w:eastAsia="仿宋_GB2312" w:cs="仿宋_GB2312"/>
          <w:color w:val="auto"/>
          <w:sz w:val="32"/>
          <w:szCs w:val="32"/>
        </w:rPr>
        <w:t>资质的施工图审查机构，在本市行政区域内从事房屋建筑、市政基础设施建设工程的施工图审查</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rPr>
        <w:t>，均应在“</w:t>
      </w:r>
      <w:r>
        <w:rPr>
          <w:rFonts w:hint="eastAsia" w:ascii="仿宋_GB2312" w:hAnsi="仿宋_GB2312" w:eastAsia="仿宋_GB2312" w:cs="仿宋_GB2312"/>
          <w:color w:val="auto"/>
          <w:sz w:val="32"/>
          <w:szCs w:val="32"/>
          <w:lang w:eastAsia="zh-CN"/>
        </w:rPr>
        <w:t>乐山</w:t>
      </w:r>
      <w:r>
        <w:rPr>
          <w:rFonts w:hint="eastAsia" w:ascii="仿宋_GB2312" w:hAnsi="仿宋_GB2312" w:eastAsia="仿宋_GB2312" w:cs="仿宋_GB2312"/>
          <w:color w:val="auto"/>
          <w:sz w:val="32"/>
          <w:szCs w:val="32"/>
        </w:rPr>
        <w:t>市施工图审查机构信用信息管理系统”（以下简称为信用系统）中注册，接受信用评价管理。</w:t>
      </w:r>
    </w:p>
    <w:p>
      <w:pPr>
        <w:pStyle w:val="10"/>
        <w:keepNext w:val="0"/>
        <w:keepLines w:val="0"/>
        <w:pageBreakBefore w:val="0"/>
        <w:widowControl w:val="0"/>
        <w:kinsoku/>
        <w:wordWrap/>
        <w:overflowPunct/>
        <w:topLinePunct w:val="0"/>
        <w:autoSpaceDE/>
        <w:autoSpaceDN/>
        <w:bidi w:val="0"/>
        <w:adjustRightInd/>
        <w:spacing w:line="580" w:lineRule="exact"/>
        <w:ind w:firstLine="646" w:firstLineChars="20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第五条 市住房城乡建设</w:t>
      </w:r>
      <w:r>
        <w:rPr>
          <w:rFonts w:hint="eastAsia" w:ascii="仿宋_GB2312" w:hAnsi="仿宋_GB2312" w:eastAsia="仿宋_GB2312" w:cs="仿宋_GB2312"/>
          <w:color w:val="auto"/>
          <w:sz w:val="32"/>
          <w:szCs w:val="32"/>
          <w:lang w:eastAsia="zh-CN"/>
        </w:rPr>
        <w:t>行政主管部门</w:t>
      </w:r>
      <w:r>
        <w:rPr>
          <w:rFonts w:hint="eastAsia" w:ascii="仿宋_GB2312" w:hAnsi="仿宋_GB2312" w:eastAsia="仿宋_GB2312" w:cs="仿宋_GB2312"/>
          <w:color w:val="auto"/>
          <w:sz w:val="32"/>
          <w:szCs w:val="32"/>
        </w:rPr>
        <w:t>定期组织对评价结果应用情况</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评估，适时调整评价标准，并向社会公布。</w:t>
      </w:r>
    </w:p>
    <w:p>
      <w:pPr>
        <w:pStyle w:val="10"/>
        <w:keepNext w:val="0"/>
        <w:keepLines w:val="0"/>
        <w:pageBreakBefore w:val="0"/>
        <w:widowControl w:val="0"/>
        <w:kinsoku/>
        <w:wordWrap/>
        <w:overflowPunct/>
        <w:topLinePunct w:val="0"/>
        <w:autoSpaceDE/>
        <w:autoSpaceDN/>
        <w:bidi w:val="0"/>
        <w:adjustRightInd/>
        <w:spacing w:line="580" w:lineRule="exact"/>
        <w:ind w:firstLine="646" w:firstLineChars="20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第六条 各区县</w:t>
      </w:r>
      <w:r>
        <w:rPr>
          <w:rFonts w:hint="eastAsia" w:ascii="仿宋_GB2312" w:hAnsi="仿宋_GB2312" w:eastAsia="仿宋_GB2312" w:cs="仿宋_GB2312"/>
          <w:color w:val="000000"/>
          <w:sz w:val="32"/>
          <w:szCs w:val="32"/>
          <w:shd w:val="clear" w:color="auto" w:fill="FFFFFF"/>
          <w:lang w:val="en-US" w:eastAsia="zh-CN"/>
        </w:rPr>
        <w:t>住房城乡</w:t>
      </w:r>
      <w:r>
        <w:rPr>
          <w:rFonts w:hint="eastAsia" w:ascii="仿宋_GB2312" w:hAnsi="仿宋_GB2312" w:eastAsia="仿宋_GB2312" w:cs="仿宋_GB2312"/>
          <w:color w:val="000000"/>
          <w:sz w:val="32"/>
          <w:szCs w:val="32"/>
          <w:shd w:val="clear" w:color="auto" w:fill="FFFFFF"/>
        </w:rPr>
        <w:t>建设行政主管部门</w:t>
      </w:r>
      <w:r>
        <w:rPr>
          <w:rFonts w:hint="eastAsia" w:ascii="仿宋_GB2312" w:hAnsi="仿宋_GB2312" w:eastAsia="仿宋_GB2312" w:cs="仿宋_GB2312"/>
          <w:color w:val="000000"/>
          <w:sz w:val="32"/>
          <w:szCs w:val="32"/>
          <w:shd w:val="clear" w:color="auto" w:fill="FFFFFF"/>
          <w:lang w:val="en-US" w:eastAsia="zh-CN"/>
        </w:rPr>
        <w:t>应严格执行国家相关法律、法规，按照建设全国统一大市场和加强信用监管的要求，给予建筑企业平等待遇，不得强制要求企业办理进入当地的备案手续，不得强制要求企业在当地设立子公司（分公司），不得直接或变相设置市场准入门槛。</w:t>
      </w:r>
    </w:p>
    <w:p>
      <w:pPr>
        <w:pStyle w:val="10"/>
        <w:keepNext w:val="0"/>
        <w:keepLines w:val="0"/>
        <w:pageBreakBefore w:val="0"/>
        <w:widowControl w:val="0"/>
        <w:kinsoku/>
        <w:wordWrap/>
        <w:overflowPunct/>
        <w:topLinePunct w:val="0"/>
        <w:autoSpaceDE/>
        <w:autoSpaceDN/>
        <w:bidi w:val="0"/>
        <w:adjustRightInd/>
        <w:spacing w:line="580" w:lineRule="exact"/>
        <w:ind w:firstLine="646" w:firstLineChars="202"/>
        <w:textAlignment w:val="auto"/>
        <w:rPr>
          <w:rFonts w:hint="eastAsia" w:ascii="仿宋_GB2312" w:hAnsi="仿宋_GB2312" w:eastAsia="仿宋_GB2312" w:cs="仿宋_GB2312"/>
          <w:color w:val="auto"/>
          <w:sz w:val="32"/>
          <w:szCs w:val="32"/>
        </w:rPr>
      </w:pPr>
    </w:p>
    <w:p>
      <w:pPr>
        <w:keepNext w:val="0"/>
        <w:keepLines w:val="0"/>
        <w:pageBreakBefore w:val="0"/>
        <w:numPr>
          <w:ilvl w:val="0"/>
          <w:numId w:val="1"/>
        </w:numPr>
        <w:kinsoku/>
        <w:wordWrap/>
        <w:overflowPunct/>
        <w:topLinePunct w:val="0"/>
        <w:autoSpaceDE/>
        <w:autoSpaceDN/>
        <w:bidi w:val="0"/>
        <w:adjustRightInd/>
        <w:spacing w:line="58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信用信息的采集</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b w:val="0"/>
          <w:bCs w:val="0"/>
          <w:color w:val="auto"/>
          <w:sz w:val="32"/>
          <w:szCs w:val="32"/>
        </w:rPr>
        <w:t>第</w:t>
      </w:r>
      <w:r>
        <w:rPr>
          <w:rStyle w:val="7"/>
          <w:rFonts w:hint="eastAsia" w:ascii="仿宋_GB2312" w:hAnsi="仿宋_GB2312" w:eastAsia="仿宋_GB2312" w:cs="仿宋_GB2312"/>
          <w:b w:val="0"/>
          <w:bCs w:val="0"/>
          <w:color w:val="auto"/>
          <w:sz w:val="32"/>
          <w:szCs w:val="32"/>
          <w:lang w:val="en-US" w:eastAsia="zh-CN"/>
        </w:rPr>
        <w:t>七</w:t>
      </w:r>
      <w:r>
        <w:rPr>
          <w:rStyle w:val="7"/>
          <w:rFonts w:hint="eastAsia" w:ascii="仿宋_GB2312" w:hAnsi="仿宋_GB2312" w:eastAsia="仿宋_GB2312" w:cs="仿宋_GB2312"/>
          <w:b w:val="0"/>
          <w:bCs w:val="0"/>
          <w:color w:val="auto"/>
          <w:sz w:val="32"/>
          <w:szCs w:val="32"/>
        </w:rPr>
        <w:t>条</w:t>
      </w:r>
      <w:r>
        <w:rPr>
          <w:rFonts w:hint="eastAsia" w:ascii="仿宋_GB2312" w:hAnsi="仿宋_GB2312" w:eastAsia="仿宋_GB2312" w:cs="仿宋_GB2312"/>
          <w:color w:val="auto"/>
          <w:sz w:val="32"/>
          <w:szCs w:val="32"/>
        </w:rPr>
        <w:t xml:space="preserve"> 信用信息的采集</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遵循“谁采集、谁</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的</w:t>
      </w:r>
      <w:r>
        <w:rPr>
          <w:rFonts w:hint="eastAsia" w:ascii="仿宋_GB2312" w:hAnsi="仿宋_GB2312" w:eastAsia="仿宋_GB2312" w:cs="仿宋_GB2312"/>
          <w:color w:val="auto"/>
          <w:sz w:val="32"/>
          <w:szCs w:val="32"/>
        </w:rPr>
        <w:t>原则，实行施工图审查机构诚信申报</w:t>
      </w:r>
      <w:r>
        <w:rPr>
          <w:rFonts w:hint="eastAsia" w:ascii="仿宋_GB2312" w:hAnsi="仿宋_GB2312" w:eastAsia="仿宋_GB2312" w:cs="仿宋_GB2312"/>
          <w:color w:val="auto"/>
          <w:sz w:val="32"/>
          <w:szCs w:val="32"/>
          <w:lang w:eastAsia="zh-CN"/>
        </w:rPr>
        <w:t>、现场采集和相关</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定期推送</w:t>
      </w:r>
      <w:r>
        <w:rPr>
          <w:rFonts w:hint="eastAsia" w:ascii="仿宋_GB2312" w:hAnsi="仿宋_GB2312" w:eastAsia="仿宋_GB2312" w:cs="仿宋_GB2312"/>
          <w:color w:val="auto"/>
          <w:sz w:val="32"/>
          <w:szCs w:val="32"/>
        </w:rPr>
        <w:t>采集相结合的方式。</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kern w:val="0"/>
          <w:sz w:val="32"/>
          <w:szCs w:val="32"/>
        </w:rPr>
      </w:pPr>
      <w:r>
        <w:rPr>
          <w:rStyle w:val="7"/>
          <w:rFonts w:hint="eastAsia" w:ascii="仿宋_GB2312" w:hAnsi="仿宋_GB2312" w:eastAsia="仿宋_GB2312" w:cs="仿宋_GB2312"/>
          <w:b w:val="0"/>
          <w:bCs w:val="0"/>
          <w:color w:val="auto"/>
          <w:sz w:val="32"/>
          <w:szCs w:val="32"/>
        </w:rPr>
        <w:t>第</w:t>
      </w:r>
      <w:r>
        <w:rPr>
          <w:rStyle w:val="7"/>
          <w:rFonts w:hint="eastAsia" w:ascii="仿宋_GB2312" w:hAnsi="仿宋_GB2312" w:eastAsia="仿宋_GB2312" w:cs="仿宋_GB2312"/>
          <w:b w:val="0"/>
          <w:bCs w:val="0"/>
          <w:color w:val="auto"/>
          <w:sz w:val="32"/>
          <w:szCs w:val="32"/>
          <w:lang w:val="en-US" w:eastAsia="zh-CN"/>
        </w:rPr>
        <w:t>八</w:t>
      </w:r>
      <w:r>
        <w:rPr>
          <w:rStyle w:val="7"/>
          <w:rFonts w:hint="eastAsia" w:ascii="仿宋_GB2312" w:hAnsi="仿宋_GB2312" w:eastAsia="仿宋_GB2312" w:cs="仿宋_GB2312"/>
          <w:b w:val="0"/>
          <w:bCs w:val="0"/>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rPr>
        <w:t>企业诚信申报的相关信用信息因申报不及时造成信用信息评价期限缩短或超期作废的，企业自行承担相应后果。</w:t>
      </w:r>
    </w:p>
    <w:p>
      <w:pPr>
        <w:keepNext w:val="0"/>
        <w:keepLines w:val="0"/>
        <w:pageBreakBefore w:val="0"/>
        <w:widowControl w:val="0"/>
        <w:kinsoku/>
        <w:wordWrap/>
        <w:overflowPunct/>
        <w:topLinePunct w:val="0"/>
        <w:autoSpaceDE/>
        <w:autoSpaceDN/>
        <w:bidi w:val="0"/>
        <w:adjustRightInd/>
        <w:snapToGrid/>
        <w:spacing w:line="580" w:lineRule="exact"/>
        <w:ind w:firstLine="623"/>
        <w:jc w:val="left"/>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第</w:t>
      </w:r>
      <w:r>
        <w:rPr>
          <w:rFonts w:hint="eastAsia" w:ascii="仿宋_GB2312" w:hAnsi="仿宋_GB2312" w:eastAsia="仿宋_GB2312" w:cs="仿宋_GB2312"/>
          <w:color w:val="auto"/>
          <w:kern w:val="0"/>
          <w:sz w:val="32"/>
          <w:szCs w:val="32"/>
          <w:lang w:val="en-US" w:eastAsia="zh-CN"/>
        </w:rPr>
        <w:t>九</w:t>
      </w:r>
      <w:r>
        <w:rPr>
          <w:rFonts w:hint="eastAsia" w:ascii="仿宋_GB2312" w:hAnsi="仿宋_GB2312" w:eastAsia="仿宋_GB2312" w:cs="仿宋_GB2312"/>
          <w:color w:val="auto"/>
          <w:kern w:val="0"/>
          <w:sz w:val="32"/>
          <w:szCs w:val="32"/>
          <w:lang w:eastAsia="zh-CN"/>
        </w:rPr>
        <w:t>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sz w:val="32"/>
          <w:szCs w:val="32"/>
        </w:rPr>
        <w:t>施工图审查机构</w:t>
      </w:r>
      <w:r>
        <w:rPr>
          <w:rFonts w:hint="eastAsia" w:ascii="仿宋_GB2312" w:hAnsi="仿宋_GB2312" w:eastAsia="仿宋_GB2312" w:cs="仿宋_GB2312"/>
          <w:color w:val="auto"/>
          <w:kern w:val="0"/>
          <w:sz w:val="32"/>
          <w:szCs w:val="32"/>
        </w:rPr>
        <w:t>应协助、配合开展信用信息现场采集工作，如实提供有关资料和回答有关询问，不得干扰阻挠。</w:t>
      </w:r>
    </w:p>
    <w:p>
      <w:pPr>
        <w:keepNext w:val="0"/>
        <w:keepLines w:val="0"/>
        <w:pageBreakBefore w:val="0"/>
        <w:numPr>
          <w:ilvl w:val="0"/>
          <w:numId w:val="1"/>
        </w:numPr>
        <w:kinsoku/>
        <w:wordWrap/>
        <w:overflowPunct/>
        <w:topLinePunct w:val="0"/>
        <w:autoSpaceDE/>
        <w:autoSpaceDN/>
        <w:bidi w:val="0"/>
        <w:adjustRightInd/>
        <w:spacing w:line="580" w:lineRule="exact"/>
        <w:jc w:val="center"/>
        <w:textAlignment w:val="auto"/>
        <w:rPr>
          <w:rFonts w:hint="eastAsia" w:ascii="黑体" w:hAnsi="黑体" w:eastAsia="黑体" w:cs="黑体"/>
          <w:color w:val="auto"/>
          <w:kern w:val="0"/>
          <w:sz w:val="32"/>
          <w:szCs w:val="32"/>
        </w:rPr>
      </w:pPr>
      <w:r>
        <w:rPr>
          <w:rFonts w:hint="eastAsia" w:ascii="黑体" w:hAnsi="黑体" w:eastAsia="黑体" w:cs="黑体"/>
          <w:color w:val="auto"/>
          <w:sz w:val="32"/>
          <w:szCs w:val="32"/>
          <w:lang w:eastAsia="zh-CN"/>
        </w:rPr>
        <w:t>信用</w:t>
      </w:r>
      <w:r>
        <w:rPr>
          <w:rFonts w:hint="eastAsia" w:ascii="黑体" w:hAnsi="黑体" w:eastAsia="黑体" w:cs="黑体"/>
          <w:color w:val="auto"/>
          <w:sz w:val="32"/>
          <w:szCs w:val="32"/>
        </w:rPr>
        <w:t>评价</w:t>
      </w:r>
      <w:r>
        <w:rPr>
          <w:rFonts w:hint="eastAsia" w:ascii="黑体" w:hAnsi="黑体" w:eastAsia="黑体" w:cs="黑体"/>
          <w:color w:val="auto"/>
          <w:sz w:val="32"/>
          <w:szCs w:val="32"/>
          <w:lang w:eastAsia="zh-CN"/>
        </w:rPr>
        <w:t>及应用</w:t>
      </w:r>
    </w:p>
    <w:p>
      <w:pPr>
        <w:keepNext w:val="0"/>
        <w:keepLines w:val="0"/>
        <w:pageBreakBefore w:val="0"/>
        <w:shd w:val="clea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w:t>
      </w:r>
      <w:r>
        <w:rPr>
          <w:rFonts w:hint="eastAsia" w:ascii="仿宋_GB2312" w:hAnsi="仿宋_GB2312" w:eastAsia="仿宋_GB2312" w:cs="仿宋_GB2312"/>
          <w:color w:val="auto"/>
          <w:sz w:val="32"/>
          <w:szCs w:val="32"/>
          <w:shd w:val="clear" w:color="auto" w:fill="FFFFFF"/>
          <w:lang w:val="en-US" w:eastAsia="zh-CN"/>
        </w:rPr>
        <w:t>十</w:t>
      </w:r>
      <w:r>
        <w:rPr>
          <w:rFonts w:hint="eastAsia" w:ascii="仿宋_GB2312" w:hAnsi="仿宋_GB2312" w:eastAsia="仿宋_GB2312" w:cs="仿宋_GB2312"/>
          <w:color w:val="auto"/>
          <w:sz w:val="32"/>
          <w:szCs w:val="32"/>
          <w:shd w:val="clear" w:color="auto" w:fill="FFFFFF"/>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施工图审查机构</w:t>
      </w:r>
      <w:r>
        <w:rPr>
          <w:rFonts w:hint="eastAsia" w:ascii="仿宋_GB2312" w:hAnsi="仿宋_GB2312" w:eastAsia="仿宋_GB2312" w:cs="仿宋_GB2312"/>
          <w:color w:val="auto"/>
          <w:sz w:val="32"/>
          <w:szCs w:val="32"/>
        </w:rPr>
        <w:t>信用评价得分</w:t>
      </w:r>
      <w:r>
        <w:rPr>
          <w:rFonts w:hint="eastAsia" w:ascii="仿宋_GB2312" w:hAnsi="仿宋_GB2312" w:eastAsia="仿宋_GB2312" w:cs="仿宋_GB2312"/>
          <w:color w:val="auto"/>
          <w:sz w:val="32"/>
          <w:szCs w:val="32"/>
          <w:lang w:eastAsia="zh-CN"/>
        </w:rPr>
        <w:t>采用加减累积分制计算，</w:t>
      </w:r>
      <w:r>
        <w:rPr>
          <w:rFonts w:hint="eastAsia" w:ascii="仿宋_GB2312" w:hAnsi="仿宋_GB2312" w:eastAsia="仿宋_GB2312" w:cs="仿宋_GB2312"/>
          <w:color w:val="auto"/>
          <w:sz w:val="32"/>
          <w:szCs w:val="32"/>
        </w:rPr>
        <w:t>满分为100分，信用评价内容主要包括基本信息、良好行为信息和不良行为信息，审查机构的信用评价得分=基本信息分（90分）+良好行为信息分（最高10分）-不良行为信息分，各组成部分具体如下：</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（一）基本信息：审查机构基本信息分为90分，</w:t>
      </w:r>
      <w:r>
        <w:rPr>
          <w:rFonts w:hint="eastAsia" w:ascii="仿宋_GB2312" w:hAnsi="仿宋_GB2312" w:eastAsia="仿宋_GB2312" w:cs="仿宋_GB2312"/>
          <w:color w:val="auto"/>
          <w:kern w:val="0"/>
          <w:sz w:val="32"/>
          <w:szCs w:val="32"/>
          <w:lang w:val="en-US" w:eastAsia="zh-CN"/>
        </w:rPr>
        <w:t>从企业首次提交《施工图审查机构信用信息申报表》、完善初始资料并通过公示后生效。</w:t>
      </w:r>
    </w:p>
    <w:p>
      <w:pPr>
        <w:keepNext w:val="0"/>
        <w:keepLines w:val="0"/>
        <w:pageBreakBefore w:val="0"/>
        <w:shd w:val="clear"/>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（二）良好行为信息分。以良好行为信息分之和作为加分计入，最高10分，具体加分标准详见《</w:t>
      </w:r>
      <w:r>
        <w:rPr>
          <w:rFonts w:hint="eastAsia" w:ascii="仿宋_GB2312" w:hAnsi="仿宋_GB2312" w:eastAsia="仿宋_GB2312" w:cs="仿宋_GB2312"/>
          <w:color w:val="auto"/>
          <w:sz w:val="32"/>
          <w:szCs w:val="32"/>
          <w:lang w:eastAsia="zh-CN"/>
        </w:rPr>
        <w:t>乐山</w:t>
      </w:r>
      <w:r>
        <w:rPr>
          <w:rFonts w:hint="eastAsia" w:ascii="仿宋_GB2312" w:hAnsi="仿宋_GB2312" w:eastAsia="仿宋_GB2312" w:cs="仿宋_GB2312"/>
          <w:color w:val="auto"/>
          <w:sz w:val="32"/>
          <w:szCs w:val="32"/>
        </w:rPr>
        <w:t>市施工图审查机构信用评价标准》（</w:t>
      </w:r>
      <w:r>
        <w:rPr>
          <w:rFonts w:hint="eastAsia" w:ascii="仿宋_GB2312" w:hAnsi="仿宋_GB2312" w:eastAsia="仿宋_GB2312" w:cs="仿宋_GB2312"/>
          <w:color w:val="auto"/>
          <w:sz w:val="32"/>
          <w:szCs w:val="32"/>
          <w:lang w:eastAsia="zh-CN"/>
        </w:rPr>
        <w:t>见</w:t>
      </w:r>
      <w:r>
        <w:rPr>
          <w:rFonts w:hint="eastAsia" w:ascii="仿宋_GB2312" w:hAnsi="仿宋_GB2312" w:eastAsia="仿宋_GB2312" w:cs="仿宋_GB2312"/>
          <w:color w:val="auto"/>
          <w:sz w:val="32"/>
          <w:szCs w:val="32"/>
        </w:rPr>
        <w:t>附件）。</w:t>
      </w:r>
    </w:p>
    <w:p>
      <w:pPr>
        <w:keepNext w:val="0"/>
        <w:keepLines w:val="0"/>
        <w:pageBreakBefore w:val="0"/>
        <w:shd w:val="clea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（三）不良行为信息分。包括市场行为信息、审查质量信息和内部管理信息三个方面，以不良行为信息分之和作为扣分计入，低于0分的按0分计，具体扣分标准详见《</w:t>
      </w:r>
      <w:r>
        <w:rPr>
          <w:rFonts w:hint="eastAsia" w:ascii="仿宋_GB2312" w:hAnsi="仿宋_GB2312" w:eastAsia="仿宋_GB2312" w:cs="仿宋_GB2312"/>
          <w:color w:val="auto"/>
          <w:sz w:val="32"/>
          <w:szCs w:val="32"/>
          <w:lang w:eastAsia="zh-CN"/>
        </w:rPr>
        <w:t>乐山</w:t>
      </w:r>
      <w:r>
        <w:rPr>
          <w:rFonts w:hint="eastAsia" w:ascii="仿宋_GB2312" w:hAnsi="仿宋_GB2312" w:eastAsia="仿宋_GB2312" w:cs="仿宋_GB2312"/>
          <w:color w:val="auto"/>
          <w:sz w:val="32"/>
          <w:szCs w:val="32"/>
        </w:rPr>
        <w:t>市施工图审查机构信用评价标准》（</w:t>
      </w:r>
      <w:r>
        <w:rPr>
          <w:rFonts w:hint="eastAsia" w:ascii="仿宋_GB2312" w:hAnsi="仿宋_GB2312" w:eastAsia="仿宋_GB2312" w:cs="仿宋_GB2312"/>
          <w:color w:val="auto"/>
          <w:sz w:val="32"/>
          <w:szCs w:val="32"/>
          <w:lang w:eastAsia="zh-CN"/>
        </w:rPr>
        <w:t>见</w:t>
      </w:r>
      <w:r>
        <w:rPr>
          <w:rFonts w:hint="eastAsia" w:ascii="仿宋_GB2312" w:hAnsi="仿宋_GB2312" w:eastAsia="仿宋_GB2312" w:cs="仿宋_GB2312"/>
          <w:color w:val="auto"/>
          <w:sz w:val="32"/>
          <w:szCs w:val="32"/>
        </w:rPr>
        <w:t>附件）。</w:t>
      </w:r>
    </w:p>
    <w:p>
      <w:pPr>
        <w:keepNext w:val="0"/>
        <w:keepLines w:val="0"/>
        <w:pageBreakBefore w:val="0"/>
        <w:shd w:val="clea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shd w:val="clear" w:color="auto" w:fill="FFFFFF"/>
        </w:rPr>
        <w:t>第十</w:t>
      </w:r>
      <w:r>
        <w:rPr>
          <w:rFonts w:hint="eastAsia" w:ascii="仿宋_GB2312" w:hAnsi="仿宋_GB2312" w:eastAsia="仿宋_GB2312" w:cs="仿宋_GB2312"/>
          <w:color w:val="auto"/>
          <w:sz w:val="32"/>
          <w:szCs w:val="32"/>
          <w:shd w:val="clear" w:color="auto" w:fill="FFFFFF"/>
          <w:lang w:val="en-US" w:eastAsia="zh-CN"/>
        </w:rPr>
        <w:t>一</w:t>
      </w:r>
      <w:r>
        <w:rPr>
          <w:rFonts w:hint="eastAsia" w:ascii="仿宋_GB2312" w:hAnsi="仿宋_GB2312" w:eastAsia="仿宋_GB2312" w:cs="仿宋_GB2312"/>
          <w:color w:val="auto"/>
          <w:sz w:val="32"/>
          <w:szCs w:val="32"/>
          <w:shd w:val="clear" w:color="auto" w:fill="FFFFFF"/>
        </w:rPr>
        <w:t>条</w:t>
      </w:r>
      <w:r>
        <w:rPr>
          <w:rStyle w:val="7"/>
          <w:rFonts w:hint="eastAsia" w:ascii="仿宋_GB2312" w:hAnsi="仿宋_GB2312" w:eastAsia="仿宋_GB2312" w:cs="仿宋_GB2312"/>
          <w:b w:val="0"/>
          <w:bCs w:val="0"/>
          <w:color w:val="auto"/>
          <w:sz w:val="32"/>
          <w:szCs w:val="32"/>
        </w:rPr>
        <w:t xml:space="preserve"> 信用</w:t>
      </w:r>
      <w:r>
        <w:rPr>
          <w:rFonts w:hint="eastAsia" w:ascii="仿宋_GB2312" w:hAnsi="仿宋_GB2312" w:eastAsia="仿宋_GB2312" w:cs="仿宋_GB2312"/>
          <w:color w:val="auto"/>
          <w:sz w:val="32"/>
          <w:szCs w:val="32"/>
        </w:rPr>
        <w:t>系统根据信用评价得分自动对企业的信用等级进行评定，信用等级</w:t>
      </w:r>
      <w:r>
        <w:rPr>
          <w:rFonts w:hint="eastAsia" w:ascii="仿宋_GB2312" w:hAnsi="仿宋_GB2312" w:eastAsia="仿宋_GB2312" w:cs="仿宋_GB2312"/>
          <w:color w:val="auto"/>
          <w:sz w:val="32"/>
          <w:szCs w:val="32"/>
          <w:lang w:eastAsia="zh-CN"/>
        </w:rPr>
        <w:t>划分具体办法如下：</w:t>
      </w:r>
    </w:p>
    <w:p>
      <w:pPr>
        <w:keepNext w:val="0"/>
        <w:keepLines w:val="0"/>
        <w:pageBreakBefore w:val="0"/>
        <w:shd w:val="clea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施工图</w:t>
      </w:r>
      <w:r>
        <w:rPr>
          <w:rFonts w:hint="eastAsia" w:ascii="仿宋_GB2312" w:hAnsi="仿宋_GB2312" w:eastAsia="仿宋_GB2312" w:cs="仿宋_GB2312"/>
          <w:color w:val="auto"/>
          <w:sz w:val="32"/>
          <w:szCs w:val="32"/>
        </w:rPr>
        <w:t>审查机构信用等级由高到低依次为A级（85分及以上）、B级（70-85分，含70分）、C级（60-70分以上，含60分）、D级（60分以下）四个等级，其中A级为信用良好企业，B级为信用一般企业，C级为信用较差企业，D级为信用不合格企业。</w:t>
      </w:r>
    </w:p>
    <w:p>
      <w:pPr>
        <w:keepNext w:val="0"/>
        <w:keepLines w:val="0"/>
        <w:pageBreakBefore w:val="0"/>
        <w:shd w:val="clea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第十</w:t>
      </w:r>
      <w:r>
        <w:rPr>
          <w:rFonts w:hint="eastAsia" w:ascii="仿宋_GB2312" w:hAnsi="仿宋_GB2312" w:eastAsia="仿宋_GB2312" w:cs="仿宋_GB2312"/>
          <w:color w:val="auto"/>
          <w:sz w:val="32"/>
          <w:szCs w:val="32"/>
          <w:shd w:val="clear" w:color="auto" w:fill="FFFFFF"/>
          <w:lang w:val="en-US" w:eastAsia="zh-CN"/>
        </w:rPr>
        <w:t>二</w:t>
      </w:r>
      <w:r>
        <w:rPr>
          <w:rFonts w:hint="eastAsia" w:ascii="仿宋_GB2312" w:hAnsi="仿宋_GB2312" w:eastAsia="仿宋_GB2312" w:cs="仿宋_GB2312"/>
          <w:color w:val="auto"/>
          <w:sz w:val="32"/>
          <w:szCs w:val="32"/>
          <w:shd w:val="clear" w:color="auto" w:fill="FFFFFF"/>
        </w:rPr>
        <w:t>条</w:t>
      </w:r>
      <w:r>
        <w:rPr>
          <w:rFonts w:hint="eastAsia" w:ascii="仿宋_GB2312" w:hAnsi="仿宋_GB2312" w:eastAsia="仿宋_GB2312" w:cs="仿宋_GB2312"/>
          <w:color w:val="auto"/>
          <w:sz w:val="32"/>
          <w:szCs w:val="32"/>
        </w:rPr>
        <w:t xml:space="preserve"> 审查机构存在下列行为之一的，信用评价等级直接确定为D级。</w:t>
      </w:r>
    </w:p>
    <w:p>
      <w:pPr>
        <w:keepNext w:val="0"/>
        <w:keepLines w:val="0"/>
        <w:pageBreakBefore w:val="0"/>
        <w:shd w:val="clea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（一）超出其资质等级范围从事施工图审查业务活动的；</w:t>
      </w:r>
    </w:p>
    <w:p>
      <w:pPr>
        <w:keepNext w:val="0"/>
        <w:keepLines w:val="0"/>
        <w:pageBreakBefore w:val="0"/>
        <w:shd w:val="clea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（二）使用不符合条件的审查人员的；</w:t>
      </w:r>
    </w:p>
    <w:p>
      <w:pPr>
        <w:keepNext w:val="0"/>
        <w:keepLines w:val="0"/>
        <w:pageBreakBefore w:val="0"/>
        <w:shd w:val="clea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（三）出具虚假审查合格书的；</w:t>
      </w:r>
    </w:p>
    <w:p>
      <w:pPr>
        <w:keepNext w:val="0"/>
        <w:keepLines w:val="0"/>
        <w:pageBreakBefore w:val="0"/>
        <w:shd w:val="clea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（四）因施工图失查导致工程发生重大质量安全事故的；</w:t>
      </w:r>
    </w:p>
    <w:p>
      <w:pPr>
        <w:keepNext w:val="0"/>
        <w:keepLines w:val="0"/>
        <w:pageBreakBefore w:val="0"/>
        <w:shd w:val="clea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）在市住房城乡建设局组织的</w:t>
      </w:r>
      <w:r>
        <w:rPr>
          <w:rFonts w:hint="eastAsia" w:ascii="仿宋_GB2312" w:hAnsi="仿宋_GB2312" w:eastAsia="仿宋_GB2312" w:cs="仿宋_GB2312"/>
          <w:color w:val="auto"/>
          <w:sz w:val="32"/>
          <w:szCs w:val="32"/>
          <w:lang w:eastAsia="zh-CN"/>
        </w:rPr>
        <w:t>施工图审查质量抽查</w:t>
      </w:r>
      <w:r>
        <w:rPr>
          <w:rFonts w:hint="eastAsia" w:ascii="仿宋_GB2312" w:hAnsi="仿宋_GB2312" w:eastAsia="仿宋_GB2312" w:cs="仿宋_GB2312"/>
          <w:color w:val="auto"/>
          <w:sz w:val="32"/>
          <w:szCs w:val="32"/>
        </w:rPr>
        <w:t>综合考核中，被一次性扣分20分以上的。</w:t>
      </w:r>
    </w:p>
    <w:p>
      <w:pPr>
        <w:keepNext w:val="0"/>
        <w:keepLines w:val="0"/>
        <w:pageBreakBefore w:val="0"/>
        <w:shd w:val="clea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第十</w:t>
      </w:r>
      <w:r>
        <w:rPr>
          <w:rFonts w:hint="eastAsia" w:ascii="仿宋_GB2312" w:hAnsi="仿宋_GB2312" w:eastAsia="仿宋_GB2312" w:cs="仿宋_GB2312"/>
          <w:color w:val="auto"/>
          <w:sz w:val="32"/>
          <w:szCs w:val="32"/>
          <w:shd w:val="clear" w:color="auto" w:fill="FFFFFF"/>
          <w:lang w:val="en-US" w:eastAsia="zh-CN"/>
        </w:rPr>
        <w:t>三</w:t>
      </w:r>
      <w:r>
        <w:rPr>
          <w:rFonts w:hint="eastAsia" w:ascii="仿宋_GB2312" w:hAnsi="仿宋_GB2312" w:eastAsia="仿宋_GB2312" w:cs="仿宋_GB2312"/>
          <w:color w:val="auto"/>
          <w:sz w:val="32"/>
          <w:szCs w:val="32"/>
          <w:shd w:val="clear" w:color="auto" w:fill="FFFFFF"/>
        </w:rPr>
        <w:t xml:space="preserve">条 </w:t>
      </w:r>
      <w:r>
        <w:rPr>
          <w:rFonts w:hint="eastAsia" w:ascii="仿宋_GB2312" w:hAnsi="仿宋_GB2312" w:eastAsia="仿宋_GB2312" w:cs="仿宋_GB2312"/>
          <w:color w:val="auto"/>
          <w:sz w:val="32"/>
          <w:szCs w:val="32"/>
        </w:rPr>
        <w:t>住房城乡建设主管部门根据信用等级评定结果，对审查机构实施差别化管理：</w:t>
      </w:r>
    </w:p>
    <w:p>
      <w:pPr>
        <w:keepNext w:val="0"/>
        <w:keepLines w:val="0"/>
        <w:pageBreakBefore w:val="0"/>
        <w:shd w:val="clear"/>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对A级企业在政府性投资建设工程项目选择审查机构、政策扶持等方面优先考虑，并减少日常检查频次；</w:t>
      </w:r>
    </w:p>
    <w:p>
      <w:pPr>
        <w:keepNext w:val="0"/>
        <w:keepLines w:val="0"/>
        <w:pageBreakBefore w:val="0"/>
        <w:shd w:val="clear"/>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对B级企业实施常规监管；</w:t>
      </w:r>
    </w:p>
    <w:p>
      <w:pPr>
        <w:keepNext w:val="0"/>
        <w:keepLines w:val="0"/>
        <w:pageBreakBefore w:val="0"/>
        <w:shd w:val="clear"/>
        <w:kinsoku/>
        <w:wordWrap/>
        <w:overflowPunct/>
        <w:topLinePunct w:val="0"/>
        <w:autoSpaceDE/>
        <w:autoSpaceDN/>
        <w:bidi w:val="0"/>
        <w:adjustRightInd/>
        <w:spacing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对C级企业实行信用预警，进行重点监管，责令限期整顿，整顿期限为3个月，整顿期间不得承接施工图审查业务。</w:t>
      </w:r>
    </w:p>
    <w:p>
      <w:pPr>
        <w:keepNext w:val="0"/>
        <w:keepLines w:val="0"/>
        <w:pageBreakBefore w:val="0"/>
        <w:widowControl w:val="0"/>
        <w:kinsoku/>
        <w:wordWrap/>
        <w:overflowPunct/>
        <w:topLinePunct w:val="0"/>
        <w:autoSpaceDE/>
        <w:autoSpaceDN/>
        <w:bidi w:val="0"/>
        <w:adjustRightInd/>
        <w:snapToGrid/>
        <w:spacing w:line="580" w:lineRule="exact"/>
        <w:ind w:firstLine="623"/>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对D级企业实施市场禁入，</w:t>
      </w:r>
      <w:r>
        <w:rPr>
          <w:rFonts w:hint="eastAsia" w:ascii="仿宋_GB2312" w:hAnsi="仿宋_GB2312" w:eastAsia="仿宋_GB2312" w:cs="仿宋_GB2312"/>
          <w:color w:val="auto"/>
          <w:sz w:val="32"/>
          <w:szCs w:val="32"/>
          <w:shd w:val="clear" w:color="auto" w:fill="FFFFFF"/>
        </w:rPr>
        <w:t>在评价</w:t>
      </w:r>
      <w:r>
        <w:rPr>
          <w:rFonts w:hint="eastAsia" w:ascii="仿宋_GB2312" w:hAnsi="仿宋_GB2312" w:eastAsia="仿宋_GB2312" w:cs="仿宋_GB2312"/>
          <w:color w:val="auto"/>
          <w:sz w:val="32"/>
          <w:szCs w:val="32"/>
          <w:shd w:val="clear" w:color="auto" w:fill="FFFFFF"/>
          <w:lang w:val="en-US" w:eastAsia="zh-CN"/>
        </w:rPr>
        <w:t>期限内</w:t>
      </w:r>
      <w:r>
        <w:rPr>
          <w:rFonts w:hint="eastAsia" w:ascii="仿宋_GB2312" w:hAnsi="仿宋_GB2312" w:eastAsia="仿宋_GB2312" w:cs="仿宋_GB2312"/>
          <w:color w:val="auto"/>
          <w:sz w:val="32"/>
          <w:szCs w:val="32"/>
          <w:shd w:val="clear" w:color="auto" w:fill="FFFFFF"/>
        </w:rPr>
        <w:t>不得在</w:t>
      </w:r>
      <w:r>
        <w:rPr>
          <w:rFonts w:hint="eastAsia" w:ascii="仿宋_GB2312" w:hAnsi="仿宋_GB2312" w:eastAsia="仿宋_GB2312" w:cs="仿宋_GB2312"/>
          <w:color w:val="auto"/>
          <w:sz w:val="32"/>
          <w:szCs w:val="32"/>
          <w:shd w:val="clear" w:color="auto" w:fill="FFFFFF"/>
          <w:lang w:val="en-US" w:eastAsia="zh-CN"/>
        </w:rPr>
        <w:t>乐</w:t>
      </w:r>
      <w:r>
        <w:rPr>
          <w:rFonts w:hint="eastAsia" w:ascii="仿宋_GB2312" w:hAnsi="仿宋_GB2312" w:eastAsia="仿宋_GB2312" w:cs="仿宋_GB2312"/>
          <w:color w:val="auto"/>
          <w:sz w:val="32"/>
          <w:szCs w:val="32"/>
          <w:shd w:val="clear" w:color="auto" w:fill="FFFFFF"/>
        </w:rPr>
        <w:t>山市范围内新承揽业务。</w:t>
      </w:r>
    </w:p>
    <w:p>
      <w:pPr>
        <w:keepNext w:val="0"/>
        <w:keepLines w:val="0"/>
        <w:pageBreakBefore w:val="0"/>
        <w:widowControl w:val="0"/>
        <w:kinsoku/>
        <w:wordWrap/>
        <w:overflowPunct/>
        <w:topLinePunct w:val="0"/>
        <w:autoSpaceDE/>
        <w:autoSpaceDN/>
        <w:bidi w:val="0"/>
        <w:adjustRightInd/>
        <w:snapToGrid/>
        <w:spacing w:line="580" w:lineRule="exact"/>
        <w:ind w:firstLine="623"/>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条 我市行政区域内</w:t>
      </w:r>
      <w:r>
        <w:rPr>
          <w:rFonts w:hint="eastAsia" w:ascii="仿宋_GB2312" w:hAnsi="仿宋_GB2312" w:eastAsia="仿宋_GB2312" w:cs="仿宋_GB2312"/>
          <w:color w:val="auto"/>
          <w:sz w:val="32"/>
          <w:szCs w:val="32"/>
          <w:lang w:eastAsia="zh-CN"/>
        </w:rPr>
        <w:t>政府</w:t>
      </w:r>
      <w:r>
        <w:rPr>
          <w:rFonts w:hint="eastAsia" w:ascii="仿宋_GB2312" w:hAnsi="仿宋_GB2312" w:eastAsia="仿宋_GB2312" w:cs="仿宋_GB2312"/>
          <w:color w:val="auto"/>
          <w:sz w:val="32"/>
          <w:szCs w:val="32"/>
        </w:rPr>
        <w:t>投资的房屋建筑和市政工程建设项目的</w:t>
      </w:r>
      <w:r>
        <w:rPr>
          <w:rFonts w:hint="eastAsia" w:ascii="仿宋_GB2312" w:hAnsi="仿宋_GB2312" w:eastAsia="仿宋_GB2312" w:cs="仿宋_GB2312"/>
          <w:color w:val="auto"/>
          <w:sz w:val="32"/>
          <w:szCs w:val="32"/>
          <w:lang w:eastAsia="zh-CN"/>
        </w:rPr>
        <w:t>施工图审查</w:t>
      </w:r>
      <w:r>
        <w:rPr>
          <w:rFonts w:hint="eastAsia" w:ascii="仿宋_GB2312" w:hAnsi="仿宋_GB2312" w:eastAsia="仿宋_GB2312" w:cs="仿宋_GB2312"/>
          <w:color w:val="auto"/>
          <w:sz w:val="32"/>
          <w:szCs w:val="32"/>
        </w:rPr>
        <w:t>招标</w:t>
      </w:r>
      <w:r>
        <w:rPr>
          <w:rFonts w:hint="eastAsia" w:ascii="仿宋_GB2312" w:hAnsi="仿宋_GB2312" w:eastAsia="仿宋_GB2312" w:cs="仿宋_GB2312"/>
          <w:color w:val="auto"/>
          <w:sz w:val="32"/>
          <w:szCs w:val="32"/>
          <w:shd w:val="clear" w:color="auto" w:fill="FFFFFF"/>
        </w:rPr>
        <w:t>确定中标人时，应将投标人的信用评价作为确定中标人的重要依据，并在招标文件中明确。采用其它方式确定</w:t>
      </w:r>
      <w:r>
        <w:rPr>
          <w:rFonts w:hint="eastAsia" w:ascii="仿宋_GB2312" w:hAnsi="仿宋_GB2312" w:eastAsia="仿宋_GB2312" w:cs="仿宋_GB2312"/>
          <w:color w:val="auto"/>
          <w:sz w:val="32"/>
          <w:szCs w:val="32"/>
          <w:lang w:eastAsia="zh-CN"/>
        </w:rPr>
        <w:t>施工图审查机构</w:t>
      </w:r>
      <w:r>
        <w:rPr>
          <w:rFonts w:hint="eastAsia" w:ascii="仿宋_GB2312" w:hAnsi="仿宋_GB2312" w:eastAsia="仿宋_GB2312" w:cs="仿宋_GB2312"/>
          <w:color w:val="auto"/>
          <w:sz w:val="32"/>
          <w:szCs w:val="32"/>
          <w:shd w:val="clear" w:color="auto" w:fill="FFFFFF"/>
        </w:rPr>
        <w:t>的，应将信用评价结果纳入评标因素。</w:t>
      </w:r>
    </w:p>
    <w:p>
      <w:pPr>
        <w:keepNext w:val="0"/>
        <w:keepLines w:val="0"/>
        <w:pageBreakBefore w:val="0"/>
        <w:widowControl w:val="0"/>
        <w:kinsoku/>
        <w:wordWrap/>
        <w:overflowPunct/>
        <w:topLinePunct w:val="0"/>
        <w:autoSpaceDE/>
        <w:autoSpaceDN/>
        <w:bidi w:val="0"/>
        <w:adjustRightInd/>
        <w:snapToGrid/>
        <w:spacing w:line="580" w:lineRule="exact"/>
        <w:ind w:firstLine="623"/>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w:t>
      </w:r>
      <w:r>
        <w:rPr>
          <w:rFonts w:hint="eastAsia" w:ascii="仿宋_GB2312" w:hAnsi="仿宋_GB2312" w:eastAsia="仿宋_GB2312" w:cs="仿宋_GB2312"/>
          <w:color w:val="auto"/>
          <w:kern w:val="0"/>
          <w:sz w:val="32"/>
          <w:szCs w:val="32"/>
          <w:lang w:val="en-US" w:eastAsia="zh-CN"/>
        </w:rPr>
        <w:t>十五</w:t>
      </w:r>
      <w:r>
        <w:rPr>
          <w:rFonts w:hint="eastAsia" w:ascii="仿宋_GB2312" w:hAnsi="仿宋_GB2312" w:eastAsia="仿宋_GB2312" w:cs="仿宋_GB2312"/>
          <w:color w:val="auto"/>
          <w:kern w:val="0"/>
          <w:sz w:val="32"/>
          <w:szCs w:val="32"/>
        </w:rPr>
        <w:t>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信用信息评价期限在评价标准中明确，评价期限届满后，不再纳入信用综合评价，转入存储信息数据库，记入信用档案。</w:t>
      </w:r>
    </w:p>
    <w:p>
      <w:pPr>
        <w:keepNext w:val="0"/>
        <w:keepLines w:val="0"/>
        <w:pageBreakBefore w:val="0"/>
        <w:widowControl w:val="0"/>
        <w:kinsoku/>
        <w:wordWrap/>
        <w:overflowPunct/>
        <w:topLinePunct w:val="0"/>
        <w:autoSpaceDE/>
        <w:autoSpaceDN/>
        <w:bidi w:val="0"/>
        <w:adjustRightInd/>
        <w:snapToGrid/>
        <w:spacing w:line="580" w:lineRule="exact"/>
        <w:ind w:firstLine="623"/>
        <w:jc w:val="both"/>
        <w:textAlignment w:val="auto"/>
        <w:outlineLvl w:val="9"/>
        <w:rPr>
          <w:rFonts w:hint="eastAsia" w:ascii="仿宋_GB2312" w:hAnsi="仿宋_GB2312" w:eastAsia="仿宋_GB2312" w:cs="仿宋_GB2312"/>
          <w:color w:val="auto"/>
          <w:kern w:val="0"/>
          <w:sz w:val="32"/>
          <w:szCs w:val="32"/>
        </w:rPr>
      </w:pPr>
    </w:p>
    <w:p>
      <w:pPr>
        <w:keepNext w:val="0"/>
        <w:keepLines w:val="0"/>
        <w:pageBreakBefore w:val="0"/>
        <w:kinsoku/>
        <w:wordWrap/>
        <w:overflowPunct/>
        <w:topLinePunct w:val="0"/>
        <w:autoSpaceDE/>
        <w:autoSpaceDN/>
        <w:bidi w:val="0"/>
        <w:adjustRightInd/>
        <w:spacing w:line="580" w:lineRule="exact"/>
        <w:jc w:val="center"/>
        <w:textAlignment w:val="auto"/>
        <w:rPr>
          <w:rFonts w:ascii="Times New Roman" w:eastAsia="黑体" w:cs="Times New Roman"/>
          <w:color w:val="auto"/>
          <w:sz w:val="32"/>
          <w:szCs w:val="32"/>
        </w:rPr>
      </w:pPr>
      <w:r>
        <w:rPr>
          <w:rFonts w:ascii="Times New Roman" w:eastAsia="黑体" w:cs="Times New Roman"/>
          <w:color w:val="auto"/>
          <w:sz w:val="32"/>
          <w:szCs w:val="32"/>
        </w:rPr>
        <w:t>第</w:t>
      </w:r>
      <w:r>
        <w:rPr>
          <w:rFonts w:hint="eastAsia" w:ascii="Times New Roman" w:eastAsia="黑体" w:cs="Times New Roman"/>
          <w:color w:val="auto"/>
          <w:sz w:val="32"/>
          <w:szCs w:val="32"/>
          <w:lang w:eastAsia="zh-CN"/>
        </w:rPr>
        <w:t>四</w:t>
      </w:r>
      <w:r>
        <w:rPr>
          <w:rFonts w:ascii="Times New Roman" w:eastAsia="黑体" w:cs="Times New Roman"/>
          <w:color w:val="auto"/>
          <w:sz w:val="32"/>
          <w:szCs w:val="32"/>
        </w:rPr>
        <w:t xml:space="preserve">章 </w:t>
      </w:r>
      <w:r>
        <w:rPr>
          <w:rFonts w:hint="eastAsia" w:ascii="Times New Roman" w:eastAsia="黑体" w:cs="Times New Roman"/>
          <w:color w:val="auto"/>
          <w:sz w:val="32"/>
          <w:szCs w:val="32"/>
          <w:lang w:eastAsia="zh-CN"/>
        </w:rPr>
        <w:t>信用</w:t>
      </w:r>
      <w:r>
        <w:rPr>
          <w:rFonts w:ascii="Times New Roman" w:eastAsia="黑体" w:cs="Times New Roman"/>
          <w:color w:val="auto"/>
          <w:sz w:val="32"/>
          <w:szCs w:val="32"/>
        </w:rPr>
        <w:t>异议</w:t>
      </w:r>
      <w:r>
        <w:rPr>
          <w:rFonts w:hint="eastAsia" w:ascii="Times New Roman" w:eastAsia="黑体" w:cs="Times New Roman"/>
          <w:color w:val="auto"/>
          <w:sz w:val="32"/>
          <w:szCs w:val="32"/>
          <w:lang w:eastAsia="zh-CN"/>
        </w:rPr>
        <w:t>、更改和修复</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 xml:space="preserve">条 </w:t>
      </w:r>
      <w:r>
        <w:rPr>
          <w:rFonts w:hint="eastAsia" w:ascii="仿宋_GB2312" w:hAnsi="仿宋_GB2312" w:eastAsia="仿宋_GB2312" w:cs="仿宋_GB2312"/>
          <w:color w:val="auto"/>
          <w:kern w:val="0"/>
          <w:sz w:val="32"/>
          <w:szCs w:val="32"/>
        </w:rPr>
        <w:t>企业</w:t>
      </w:r>
      <w:r>
        <w:rPr>
          <w:rFonts w:hint="eastAsia" w:ascii="仿宋_GB2312" w:hAnsi="仿宋_GB2312" w:eastAsia="仿宋_GB2312" w:cs="仿宋_GB2312"/>
          <w:color w:val="auto"/>
          <w:kern w:val="0"/>
          <w:sz w:val="32"/>
          <w:szCs w:val="32"/>
          <w:lang w:val="en-US" w:eastAsia="zh-CN"/>
        </w:rPr>
        <w:t>登记</w:t>
      </w:r>
      <w:r>
        <w:rPr>
          <w:rFonts w:hint="eastAsia" w:ascii="仿宋_GB2312" w:hAnsi="仿宋_GB2312" w:eastAsia="仿宋_GB2312" w:cs="仿宋_GB2312"/>
          <w:color w:val="auto"/>
          <w:kern w:val="0"/>
          <w:sz w:val="32"/>
          <w:szCs w:val="32"/>
        </w:rPr>
        <w:t>信息及按规定不受理异议</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对已签字确认的现场信用信息项目扣分</w:t>
      </w:r>
      <w:r>
        <w:rPr>
          <w:rFonts w:hint="eastAsia" w:ascii="仿宋_GB2312" w:hAnsi="仿宋_GB2312" w:eastAsia="仿宋_GB2312" w:cs="仿宋_GB2312"/>
          <w:color w:val="auto"/>
          <w:kern w:val="0"/>
          <w:sz w:val="32"/>
          <w:szCs w:val="32"/>
          <w:lang w:val="en-US" w:eastAsia="zh-CN"/>
        </w:rPr>
        <w:t>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的信用信息于公示首日生效。公示无异议的信用信息，自公示结束的次日起生效；公示</w:t>
      </w:r>
      <w:r>
        <w:rPr>
          <w:rFonts w:hint="eastAsia" w:ascii="仿宋_GB2312" w:hAnsi="仿宋_GB2312" w:eastAsia="仿宋_GB2312" w:cs="仿宋_GB2312"/>
          <w:color w:val="auto"/>
          <w:kern w:val="0"/>
          <w:sz w:val="32"/>
          <w:szCs w:val="32"/>
          <w:lang w:val="en-US" w:eastAsia="zh-CN"/>
        </w:rPr>
        <w:t>期内</w:t>
      </w:r>
      <w:r>
        <w:rPr>
          <w:rFonts w:hint="eastAsia" w:ascii="仿宋_GB2312" w:hAnsi="仿宋_GB2312" w:eastAsia="仿宋_GB2312" w:cs="仿宋_GB2312"/>
          <w:color w:val="auto"/>
          <w:kern w:val="0"/>
          <w:sz w:val="32"/>
          <w:szCs w:val="32"/>
        </w:rPr>
        <w:t>有异议的信用信息，异议人应</w:t>
      </w:r>
      <w:r>
        <w:rPr>
          <w:rFonts w:hint="eastAsia" w:ascii="仿宋_GB2312" w:hAnsi="仿宋_GB2312" w:eastAsia="仿宋_GB2312" w:cs="仿宋_GB2312"/>
          <w:color w:val="auto"/>
          <w:kern w:val="0"/>
          <w:sz w:val="32"/>
          <w:szCs w:val="32"/>
          <w:lang w:val="en-US" w:eastAsia="zh-CN"/>
        </w:rPr>
        <w:t>及时</w:t>
      </w:r>
      <w:r>
        <w:rPr>
          <w:rFonts w:hint="eastAsia" w:ascii="仿宋_GB2312" w:hAnsi="仿宋_GB2312" w:eastAsia="仿宋_GB2312" w:cs="仿宋_GB2312"/>
          <w:color w:val="auto"/>
          <w:kern w:val="0"/>
          <w:sz w:val="32"/>
          <w:szCs w:val="32"/>
        </w:rPr>
        <w:t>提供</w:t>
      </w:r>
      <w:r>
        <w:rPr>
          <w:rFonts w:hint="eastAsia" w:ascii="仿宋_GB2312" w:hAnsi="仿宋_GB2312" w:eastAsia="仿宋_GB2312" w:cs="仿宋_GB2312"/>
          <w:color w:val="auto"/>
          <w:kern w:val="0"/>
          <w:sz w:val="32"/>
          <w:szCs w:val="32"/>
          <w:lang w:val="en-US" w:eastAsia="zh-CN"/>
        </w:rPr>
        <w:t>书面材料（提供</w:t>
      </w:r>
      <w:r>
        <w:rPr>
          <w:rFonts w:hint="eastAsia" w:ascii="仿宋_GB2312" w:hAnsi="仿宋_GB2312" w:eastAsia="仿宋_GB2312" w:cs="仿宋_GB2312"/>
          <w:color w:val="auto"/>
          <w:kern w:val="0"/>
          <w:sz w:val="32"/>
          <w:szCs w:val="32"/>
        </w:rPr>
        <w:t>联系方式、具体事实、理由及证据</w:t>
      </w:r>
      <w:r>
        <w:rPr>
          <w:rFonts w:hint="eastAsia" w:ascii="仿宋_GB2312" w:hAnsi="仿宋_GB2312" w:eastAsia="仿宋_GB2312" w:cs="仿宋_GB2312"/>
          <w:color w:val="auto"/>
          <w:kern w:val="0"/>
          <w:sz w:val="32"/>
          <w:szCs w:val="32"/>
          <w:lang w:val="en-US" w:eastAsia="zh-CN"/>
        </w:rPr>
        <w:t>）至信息采集单位进行申请。</w:t>
      </w:r>
    </w:p>
    <w:p>
      <w:pPr>
        <w:keepNext w:val="0"/>
        <w:keepLines w:val="0"/>
        <w:pageBreakBefore w:val="0"/>
        <w:widowControl w:val="0"/>
        <w:kinsoku/>
        <w:wordWrap/>
        <w:overflowPunct/>
        <w:topLinePunct w:val="0"/>
        <w:autoSpaceDE/>
        <w:autoSpaceDN/>
        <w:bidi w:val="0"/>
        <w:adjustRightInd/>
        <w:snapToGrid/>
        <w:spacing w:line="580" w:lineRule="exact"/>
        <w:ind w:firstLine="623"/>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 xml:space="preserve">条 </w:t>
      </w:r>
      <w:r>
        <w:rPr>
          <w:rFonts w:hint="eastAsia" w:ascii="仿宋_GB2312" w:hAnsi="仿宋_GB2312" w:eastAsia="仿宋_GB2312" w:cs="仿宋_GB2312"/>
          <w:color w:val="auto"/>
          <w:kern w:val="0"/>
          <w:sz w:val="32"/>
          <w:szCs w:val="32"/>
        </w:rPr>
        <w:t>生效的信用信息，任何人不得擅自更改。属以下情形确需更改的，应由企业诚信申报或采集单位通过信用系统填报《</w:t>
      </w:r>
      <w:r>
        <w:rPr>
          <w:rFonts w:hint="eastAsia" w:ascii="仿宋_GB2312" w:hAnsi="仿宋_GB2312" w:eastAsia="仿宋_GB2312" w:cs="仿宋_GB2312"/>
          <w:color w:val="auto"/>
          <w:kern w:val="0"/>
          <w:sz w:val="32"/>
          <w:szCs w:val="32"/>
          <w:lang w:eastAsia="zh-CN"/>
        </w:rPr>
        <w:t>施工图审查机构</w:t>
      </w:r>
      <w:r>
        <w:rPr>
          <w:rFonts w:hint="eastAsia" w:ascii="仿宋_GB2312" w:hAnsi="仿宋_GB2312" w:eastAsia="仿宋_GB2312" w:cs="仿宋_GB2312"/>
          <w:color w:val="auto"/>
          <w:kern w:val="0"/>
          <w:sz w:val="32"/>
          <w:szCs w:val="32"/>
        </w:rPr>
        <w:t>信用信息更改申报表》并附相关证明材料，经</w:t>
      </w:r>
      <w:r>
        <w:rPr>
          <w:rFonts w:hint="eastAsia" w:ascii="仿宋_GB2312" w:hAnsi="仿宋_GB2312" w:eastAsia="仿宋_GB2312" w:cs="仿宋_GB2312"/>
          <w:color w:val="auto"/>
          <w:kern w:val="0"/>
          <w:sz w:val="32"/>
          <w:szCs w:val="32"/>
          <w:lang w:val="en-US" w:eastAsia="zh-CN"/>
        </w:rPr>
        <w:t>信用系统</w:t>
      </w:r>
      <w:r>
        <w:rPr>
          <w:rFonts w:hint="eastAsia" w:ascii="仿宋_GB2312" w:hAnsi="仿宋_GB2312" w:eastAsia="仿宋_GB2312" w:cs="仿宋_GB2312"/>
          <w:color w:val="auto"/>
          <w:kern w:val="0"/>
          <w:sz w:val="32"/>
          <w:szCs w:val="32"/>
        </w:rPr>
        <w:t>同意后方可更改：</w:t>
      </w:r>
    </w:p>
    <w:p>
      <w:pPr>
        <w:keepNext w:val="0"/>
        <w:keepLines w:val="0"/>
        <w:pageBreakBefore w:val="0"/>
        <w:widowControl w:val="0"/>
        <w:kinsoku/>
        <w:wordWrap/>
        <w:overflowPunct/>
        <w:topLinePunct w:val="0"/>
        <w:autoSpaceDE/>
        <w:autoSpaceDN/>
        <w:bidi w:val="0"/>
        <w:adjustRightInd/>
        <w:snapToGrid/>
        <w:spacing w:line="580" w:lineRule="exact"/>
        <w:ind w:firstLine="623"/>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（一）有权部门依法撤销或变更</w:t>
      </w:r>
      <w:r>
        <w:rPr>
          <w:rFonts w:hint="eastAsia" w:ascii="仿宋_GB2312" w:hAnsi="仿宋_GB2312" w:eastAsia="仿宋_GB2312" w:cs="仿宋_GB2312"/>
          <w:color w:val="auto"/>
          <w:kern w:val="0"/>
          <w:sz w:val="32"/>
          <w:szCs w:val="32"/>
          <w:lang w:eastAsia="zh-CN"/>
        </w:rPr>
        <w:t>施工图审查机构</w:t>
      </w:r>
      <w:r>
        <w:rPr>
          <w:rFonts w:hint="eastAsia" w:ascii="仿宋_GB2312" w:hAnsi="仿宋_GB2312" w:eastAsia="仿宋_GB2312" w:cs="仿宋_GB2312"/>
          <w:color w:val="auto"/>
          <w:kern w:val="0"/>
          <w:sz w:val="32"/>
          <w:szCs w:val="32"/>
        </w:rPr>
        <w:t>信用信息的；</w:t>
      </w:r>
    </w:p>
    <w:p>
      <w:pPr>
        <w:keepNext w:val="0"/>
        <w:keepLines w:val="0"/>
        <w:pageBreakBefore w:val="0"/>
        <w:widowControl w:val="0"/>
        <w:kinsoku/>
        <w:wordWrap/>
        <w:overflowPunct/>
        <w:topLinePunct w:val="0"/>
        <w:autoSpaceDE/>
        <w:autoSpaceDN/>
        <w:bidi w:val="0"/>
        <w:adjustRightInd/>
        <w:snapToGrid/>
        <w:spacing w:line="580" w:lineRule="exact"/>
        <w:ind w:firstLine="623"/>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（二）同一事</w:t>
      </w:r>
      <w:r>
        <w:rPr>
          <w:rFonts w:hint="eastAsia" w:ascii="仿宋_GB2312" w:hAnsi="仿宋_GB2312" w:eastAsia="仿宋_GB2312" w:cs="仿宋_GB2312"/>
          <w:color w:val="auto"/>
          <w:kern w:val="0"/>
          <w:sz w:val="32"/>
          <w:szCs w:val="32"/>
          <w:lang w:eastAsia="zh-CN"/>
        </w:rPr>
        <w:t>件</w:t>
      </w:r>
      <w:r>
        <w:rPr>
          <w:rFonts w:hint="eastAsia" w:ascii="仿宋_GB2312" w:hAnsi="仿宋_GB2312" w:eastAsia="仿宋_GB2312" w:cs="仿宋_GB2312"/>
          <w:color w:val="auto"/>
          <w:kern w:val="0"/>
          <w:sz w:val="32"/>
          <w:szCs w:val="32"/>
        </w:rPr>
        <w:t>由产生其他法律后果，按评价标准需更改</w:t>
      </w:r>
      <w:r>
        <w:rPr>
          <w:rFonts w:hint="eastAsia" w:ascii="仿宋_GB2312" w:hAnsi="仿宋_GB2312" w:eastAsia="仿宋_GB2312" w:cs="仿宋_GB2312"/>
          <w:color w:val="auto"/>
          <w:kern w:val="0"/>
          <w:sz w:val="32"/>
          <w:szCs w:val="32"/>
          <w:lang w:eastAsia="zh-CN"/>
        </w:rPr>
        <w:t>施工图审查机构</w:t>
      </w:r>
      <w:r>
        <w:rPr>
          <w:rFonts w:hint="eastAsia" w:ascii="仿宋_GB2312" w:hAnsi="仿宋_GB2312" w:eastAsia="仿宋_GB2312" w:cs="仿宋_GB2312"/>
          <w:color w:val="auto"/>
          <w:kern w:val="0"/>
          <w:sz w:val="32"/>
          <w:szCs w:val="32"/>
        </w:rPr>
        <w:t>信用信息的；</w:t>
      </w:r>
    </w:p>
    <w:p>
      <w:pPr>
        <w:keepNext w:val="0"/>
        <w:keepLines w:val="0"/>
        <w:pageBreakBefore w:val="0"/>
        <w:widowControl w:val="0"/>
        <w:kinsoku/>
        <w:wordWrap/>
        <w:overflowPunct/>
        <w:topLinePunct w:val="0"/>
        <w:autoSpaceDE/>
        <w:autoSpaceDN/>
        <w:bidi w:val="0"/>
        <w:adjustRightInd/>
        <w:snapToGrid/>
        <w:spacing w:line="580" w:lineRule="exact"/>
        <w:ind w:firstLine="623"/>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（三）其他法定原因导致已发布的</w:t>
      </w:r>
      <w:r>
        <w:rPr>
          <w:rFonts w:hint="eastAsia" w:ascii="仿宋_GB2312" w:hAnsi="仿宋_GB2312" w:eastAsia="仿宋_GB2312" w:cs="仿宋_GB2312"/>
          <w:color w:val="auto"/>
          <w:kern w:val="0"/>
          <w:sz w:val="32"/>
          <w:szCs w:val="32"/>
          <w:lang w:eastAsia="zh-CN"/>
        </w:rPr>
        <w:t>施工图审查机构</w:t>
      </w:r>
      <w:r>
        <w:rPr>
          <w:rFonts w:hint="eastAsia" w:ascii="仿宋_GB2312" w:hAnsi="仿宋_GB2312" w:eastAsia="仿宋_GB2312" w:cs="仿宋_GB2312"/>
          <w:color w:val="auto"/>
          <w:kern w:val="0"/>
          <w:sz w:val="32"/>
          <w:szCs w:val="32"/>
        </w:rPr>
        <w:t>信息需更改的。</w:t>
      </w:r>
    </w:p>
    <w:p>
      <w:pPr>
        <w:keepNext w:val="0"/>
        <w:keepLines w:val="0"/>
        <w:pageBreakBefore w:val="0"/>
        <w:widowControl w:val="0"/>
        <w:kinsoku/>
        <w:wordWrap/>
        <w:overflowPunct/>
        <w:topLinePunct w:val="0"/>
        <w:autoSpaceDE/>
        <w:autoSpaceDN/>
        <w:bidi w:val="0"/>
        <w:adjustRightInd/>
        <w:snapToGrid/>
        <w:spacing w:line="580" w:lineRule="exact"/>
        <w:ind w:firstLine="623"/>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经批准更改的</w:t>
      </w:r>
      <w:r>
        <w:rPr>
          <w:rFonts w:hint="eastAsia" w:ascii="仿宋_GB2312" w:hAnsi="仿宋_GB2312" w:eastAsia="仿宋_GB2312" w:cs="仿宋_GB2312"/>
          <w:color w:val="auto"/>
          <w:kern w:val="0"/>
          <w:sz w:val="32"/>
          <w:szCs w:val="32"/>
          <w:lang w:eastAsia="zh-CN"/>
        </w:rPr>
        <w:t>施工图审查机构</w:t>
      </w:r>
      <w:r>
        <w:rPr>
          <w:rFonts w:hint="eastAsia" w:ascii="仿宋_GB2312" w:hAnsi="仿宋_GB2312" w:eastAsia="仿宋_GB2312" w:cs="仿宋_GB2312"/>
          <w:color w:val="auto"/>
          <w:kern w:val="0"/>
          <w:sz w:val="32"/>
          <w:szCs w:val="32"/>
        </w:rPr>
        <w:t>信用信息，</w:t>
      </w:r>
      <w:r>
        <w:rPr>
          <w:rFonts w:hint="eastAsia" w:ascii="仿宋_GB2312" w:hAnsi="仿宋_GB2312" w:eastAsia="仿宋_GB2312" w:cs="仿宋_GB2312"/>
          <w:color w:val="auto"/>
          <w:kern w:val="0"/>
          <w:sz w:val="32"/>
          <w:szCs w:val="32"/>
          <w:lang w:val="en-US" w:eastAsia="zh-CN"/>
        </w:rPr>
        <w:t>应</w:t>
      </w:r>
      <w:r>
        <w:rPr>
          <w:rFonts w:hint="eastAsia" w:ascii="仿宋_GB2312" w:hAnsi="仿宋_GB2312" w:eastAsia="仿宋_GB2312" w:cs="仿宋_GB2312"/>
          <w:color w:val="auto"/>
          <w:kern w:val="0"/>
          <w:sz w:val="32"/>
          <w:szCs w:val="32"/>
        </w:rPr>
        <w:t>在1个工作日内完成更改，并做好记录。更改后的评价结果不具有溯及力。</w:t>
      </w:r>
    </w:p>
    <w:p>
      <w:pPr>
        <w:pStyle w:val="3"/>
        <w:keepNext w:val="0"/>
        <w:keepLines w:val="0"/>
        <w:pageBreakBefore w:val="0"/>
        <w:widowControl w:val="0"/>
        <w:shd w:val="clear"/>
        <w:kinsoku/>
        <w:wordWrap/>
        <w:overflowPunct/>
        <w:topLinePunct w:val="0"/>
        <w:autoSpaceDE/>
        <w:autoSpaceDN/>
        <w:bidi w:val="0"/>
        <w:adjustRightInd/>
        <w:spacing w:before="0" w:beforeAutospacing="0" w:after="0" w:afterAutospacing="0"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shd w:val="clear" w:color="auto" w:fill="FFFFFF"/>
        </w:rPr>
        <w:t>第十</w:t>
      </w:r>
      <w:r>
        <w:rPr>
          <w:rFonts w:hint="eastAsia" w:ascii="仿宋_GB2312" w:hAnsi="仿宋_GB2312" w:cs="仿宋_GB2312"/>
          <w:color w:val="auto"/>
          <w:sz w:val="32"/>
          <w:szCs w:val="32"/>
          <w:shd w:val="clear" w:color="auto" w:fill="FFFFFF"/>
          <w:lang w:val="en-US" w:eastAsia="zh-CN"/>
        </w:rPr>
        <w:t>八</w:t>
      </w:r>
      <w:r>
        <w:rPr>
          <w:rFonts w:hint="eastAsia" w:ascii="仿宋_GB2312" w:hAnsi="仿宋_GB2312" w:eastAsia="仿宋_GB2312" w:cs="仿宋_GB2312"/>
          <w:color w:val="auto"/>
          <w:sz w:val="32"/>
          <w:szCs w:val="32"/>
          <w:shd w:val="clear" w:color="auto" w:fill="FFFFFF"/>
        </w:rPr>
        <w:t>条 信用评价期限在评价标准中明确。信用信息评价期届满后，不再纳入信用综合评价，转存至信息数据库，记入企业信用档案。记载审查机构信用评价的纸质、影像等资料由采集单位保存，至少保存至评价期限完成后三年以上。</w:t>
      </w:r>
    </w:p>
    <w:p>
      <w:pPr>
        <w:keepNext w:val="0"/>
        <w:keepLines w:val="0"/>
        <w:pageBreakBefore w:val="0"/>
        <w:widowControl w:val="0"/>
        <w:kinsoku/>
        <w:wordWrap/>
        <w:overflowPunct/>
        <w:topLinePunct w:val="0"/>
        <w:autoSpaceDE/>
        <w:autoSpaceDN/>
        <w:bidi w:val="0"/>
        <w:adjustRightInd/>
        <w:snapToGrid/>
        <w:spacing w:line="580" w:lineRule="exact"/>
        <w:ind w:firstLine="623"/>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w:t>
      </w:r>
      <w:r>
        <w:rPr>
          <w:rFonts w:hint="eastAsia" w:ascii="仿宋_GB2312" w:hAnsi="仿宋_GB2312" w:eastAsia="仿宋_GB2312" w:cs="仿宋_GB2312"/>
          <w:color w:val="auto"/>
          <w:kern w:val="0"/>
          <w:sz w:val="32"/>
          <w:szCs w:val="32"/>
          <w:lang w:val="en-US" w:eastAsia="zh-CN"/>
        </w:rPr>
        <w:t>十九</w:t>
      </w:r>
      <w:r>
        <w:rPr>
          <w:rFonts w:hint="eastAsia" w:ascii="仿宋_GB2312" w:hAnsi="仿宋_GB2312" w:eastAsia="仿宋_GB2312" w:cs="仿宋_GB2312"/>
          <w:color w:val="auto"/>
          <w:kern w:val="0"/>
          <w:sz w:val="32"/>
          <w:szCs w:val="32"/>
        </w:rPr>
        <w:t>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因被</w:t>
      </w:r>
      <w:r>
        <w:rPr>
          <w:rFonts w:hint="eastAsia" w:ascii="仿宋_GB2312" w:hAnsi="仿宋_GB2312" w:eastAsia="仿宋_GB2312" w:cs="仿宋_GB2312"/>
          <w:color w:val="auto"/>
          <w:kern w:val="0"/>
          <w:sz w:val="32"/>
          <w:szCs w:val="32"/>
          <w:lang w:val="en-US" w:eastAsia="zh-CN"/>
        </w:rPr>
        <w:t>相关</w:t>
      </w:r>
      <w:r>
        <w:rPr>
          <w:rFonts w:hint="eastAsia" w:ascii="仿宋_GB2312" w:hAnsi="仿宋_GB2312" w:eastAsia="仿宋_GB2312" w:cs="仿宋_GB2312"/>
          <w:color w:val="auto"/>
          <w:sz w:val="32"/>
          <w:szCs w:val="32"/>
          <w:shd w:val="clear" w:color="auto" w:fill="FFFFFF"/>
        </w:rPr>
        <w:t>部门</w:t>
      </w:r>
      <w:r>
        <w:rPr>
          <w:rFonts w:hint="eastAsia" w:ascii="仿宋_GB2312" w:hAnsi="仿宋_GB2312" w:eastAsia="仿宋_GB2312" w:cs="仿宋_GB2312"/>
          <w:color w:val="auto"/>
          <w:kern w:val="0"/>
          <w:sz w:val="32"/>
          <w:szCs w:val="32"/>
        </w:rPr>
        <w:t>列入“黑名单”或</w:t>
      </w:r>
      <w:r>
        <w:rPr>
          <w:rFonts w:hint="eastAsia" w:ascii="仿宋_GB2312" w:hAnsi="仿宋_GB2312" w:eastAsia="仿宋_GB2312" w:cs="仿宋_GB2312"/>
          <w:color w:val="auto"/>
          <w:kern w:val="0"/>
          <w:sz w:val="32"/>
          <w:szCs w:val="32"/>
          <w:lang w:val="en-US" w:eastAsia="zh-CN"/>
        </w:rPr>
        <w:t>被列入</w:t>
      </w:r>
      <w:r>
        <w:rPr>
          <w:rFonts w:hint="eastAsia" w:ascii="仿宋_GB2312" w:hAnsi="仿宋_GB2312" w:eastAsia="仿宋_GB2312" w:cs="仿宋_GB2312"/>
          <w:color w:val="auto"/>
          <w:kern w:val="0"/>
          <w:sz w:val="32"/>
          <w:szCs w:val="32"/>
        </w:rPr>
        <w:t>联合惩戒对象</w:t>
      </w:r>
      <w:r>
        <w:rPr>
          <w:rFonts w:hint="eastAsia" w:ascii="仿宋_GB2312" w:hAnsi="仿宋_GB2312" w:eastAsia="仿宋_GB2312" w:cs="仿宋_GB2312"/>
          <w:color w:val="auto"/>
          <w:kern w:val="0"/>
          <w:sz w:val="32"/>
          <w:szCs w:val="32"/>
          <w:lang w:val="en-US" w:eastAsia="zh-CN"/>
        </w:rPr>
        <w:t>等</w:t>
      </w:r>
      <w:r>
        <w:rPr>
          <w:rFonts w:hint="eastAsia" w:ascii="仿宋_GB2312" w:hAnsi="仿宋_GB2312" w:eastAsia="仿宋_GB2312" w:cs="仿宋_GB2312"/>
          <w:color w:val="auto"/>
          <w:kern w:val="0"/>
          <w:sz w:val="32"/>
          <w:szCs w:val="32"/>
        </w:rPr>
        <w:t>而被评定为信用D级的企业在纠正失信行为，消除不良影响后被提前移出名单的，可登录信用系统提出修复申请，系统自动重新评定并发布其信用等级。</w:t>
      </w:r>
    </w:p>
    <w:p>
      <w:pPr>
        <w:keepNext w:val="0"/>
        <w:keepLines w:val="0"/>
        <w:pageBreakBefore w:val="0"/>
        <w:widowControl w:val="0"/>
        <w:kinsoku/>
        <w:wordWrap/>
        <w:overflowPunct/>
        <w:topLinePunct w:val="0"/>
        <w:autoSpaceDE/>
        <w:autoSpaceDN/>
        <w:bidi w:val="0"/>
        <w:adjustRightInd/>
        <w:snapToGrid/>
        <w:spacing w:line="580" w:lineRule="exact"/>
        <w:ind w:firstLine="623"/>
        <w:jc w:val="left"/>
        <w:textAlignment w:val="auto"/>
        <w:outlineLvl w:val="9"/>
        <w:rPr>
          <w:rFonts w:hint="eastAsia" w:ascii="仿宋_GB2312" w:hAnsi="仿宋_GB2312" w:eastAsia="仿宋_GB2312" w:cs="仿宋_GB2312"/>
          <w:color w:val="auto"/>
          <w:kern w:val="0"/>
          <w:sz w:val="32"/>
          <w:szCs w:val="32"/>
        </w:rPr>
      </w:pPr>
    </w:p>
    <w:p>
      <w:pPr>
        <w:keepNext w:val="0"/>
        <w:keepLines w:val="0"/>
        <w:pageBreakBefore w:val="0"/>
        <w:kinsoku/>
        <w:wordWrap/>
        <w:overflowPunct/>
        <w:topLinePunct w:val="0"/>
        <w:autoSpaceDE/>
        <w:autoSpaceDN/>
        <w:bidi w:val="0"/>
        <w:adjustRightInd/>
        <w:snapToGrid w:val="0"/>
        <w:spacing w:line="580" w:lineRule="exact"/>
        <w:jc w:val="center"/>
        <w:textAlignment w:val="auto"/>
        <w:rPr>
          <w:rFonts w:ascii="Times New Roman" w:eastAsia="黑体" w:cs="Times New Roman"/>
          <w:color w:val="auto"/>
          <w:sz w:val="32"/>
          <w:szCs w:val="32"/>
        </w:rPr>
      </w:pPr>
      <w:r>
        <w:rPr>
          <w:rFonts w:ascii="Times New Roman" w:eastAsia="黑体" w:cs="Times New Roman"/>
          <w:color w:val="auto"/>
          <w:sz w:val="32"/>
          <w:szCs w:val="32"/>
        </w:rPr>
        <w:t>第</w:t>
      </w:r>
      <w:r>
        <w:rPr>
          <w:rFonts w:hint="eastAsia" w:ascii="Times New Roman" w:eastAsia="黑体" w:cs="Times New Roman"/>
          <w:color w:val="auto"/>
          <w:sz w:val="32"/>
          <w:szCs w:val="32"/>
          <w:lang w:eastAsia="zh-CN"/>
        </w:rPr>
        <w:t>五</w:t>
      </w:r>
      <w:r>
        <w:rPr>
          <w:rFonts w:ascii="Times New Roman" w:eastAsia="黑体" w:cs="Times New Roman"/>
          <w:color w:val="auto"/>
          <w:sz w:val="32"/>
          <w:szCs w:val="32"/>
        </w:rPr>
        <w:t>章 附则</w:t>
      </w:r>
    </w:p>
    <w:p>
      <w:pPr>
        <w:keepNext w:val="0"/>
        <w:keepLines w:val="0"/>
        <w:pageBreakBefore w:val="0"/>
        <w:widowControl w:val="0"/>
        <w:kinsoku/>
        <w:wordWrap/>
        <w:overflowPunct/>
        <w:topLinePunct w:val="0"/>
        <w:autoSpaceDE/>
        <w:autoSpaceDN/>
        <w:bidi w:val="0"/>
        <w:adjustRightInd/>
        <w:snapToGrid/>
        <w:spacing w:line="580" w:lineRule="exact"/>
        <w:ind w:firstLine="623"/>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w:t>
      </w:r>
      <w:r>
        <w:rPr>
          <w:rFonts w:hint="eastAsia" w:ascii="仿宋_GB2312" w:hAnsi="仿宋_GB2312" w:eastAsia="仿宋_GB2312" w:cs="仿宋_GB2312"/>
          <w:color w:val="auto"/>
          <w:kern w:val="0"/>
          <w:sz w:val="32"/>
          <w:szCs w:val="32"/>
          <w:lang w:val="en-US" w:eastAsia="zh-CN"/>
        </w:rPr>
        <w:t>二十</w:t>
      </w:r>
      <w:r>
        <w:rPr>
          <w:rFonts w:hint="eastAsia" w:ascii="仿宋_GB2312" w:hAnsi="仿宋_GB2312" w:eastAsia="仿宋_GB2312" w:cs="仿宋_GB2312"/>
          <w:color w:val="auto"/>
          <w:kern w:val="0"/>
          <w:sz w:val="32"/>
          <w:szCs w:val="32"/>
        </w:rPr>
        <w:t>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当日信用综合评价得分是指上一工作日各种有效信用信息的汇总分数；60日信用综合评价得分是指当日之前60个自然日的信用综合评价得分的算术平均值，信用综合评价得分不足60日的，取当日之前的各日信用综合评价得分的算术平均值。</w:t>
      </w:r>
    </w:p>
    <w:p>
      <w:pPr>
        <w:keepNext w:val="0"/>
        <w:keepLines w:val="0"/>
        <w:pageBreakBefore w:val="0"/>
        <w:widowControl w:val="0"/>
        <w:kinsoku/>
        <w:wordWrap/>
        <w:overflowPunct/>
        <w:topLinePunct w:val="0"/>
        <w:autoSpaceDE/>
        <w:autoSpaceDN/>
        <w:bidi w:val="0"/>
        <w:adjustRightInd/>
        <w:snapToGrid/>
        <w:spacing w:line="580" w:lineRule="exact"/>
        <w:ind w:firstLine="623"/>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w:t>
      </w:r>
      <w:r>
        <w:rPr>
          <w:rFonts w:hint="eastAsia" w:ascii="仿宋_GB2312" w:hAnsi="仿宋_GB2312" w:eastAsia="仿宋_GB2312" w:cs="仿宋_GB2312"/>
          <w:color w:val="auto"/>
          <w:kern w:val="0"/>
          <w:sz w:val="32"/>
          <w:szCs w:val="32"/>
          <w:lang w:val="en-US" w:eastAsia="zh-CN"/>
        </w:rPr>
        <w:t>二十一</w:t>
      </w:r>
      <w:r>
        <w:rPr>
          <w:rFonts w:hint="eastAsia" w:ascii="仿宋_GB2312" w:hAnsi="仿宋_GB2312" w:eastAsia="仿宋_GB2312" w:cs="仿宋_GB2312"/>
          <w:color w:val="auto"/>
          <w:kern w:val="0"/>
          <w:sz w:val="32"/>
          <w:szCs w:val="32"/>
        </w:rPr>
        <w:t>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本</w:t>
      </w:r>
      <w:r>
        <w:rPr>
          <w:rFonts w:hint="eastAsia" w:ascii="仿宋_GB2312" w:hAnsi="仿宋_GB2312" w:eastAsia="仿宋_GB2312" w:cs="仿宋_GB2312"/>
          <w:color w:val="auto"/>
          <w:kern w:val="0"/>
          <w:sz w:val="32"/>
          <w:szCs w:val="32"/>
          <w:lang w:eastAsia="zh-CN"/>
        </w:rPr>
        <w:t>办法</w:t>
      </w:r>
      <w:r>
        <w:rPr>
          <w:rFonts w:hint="eastAsia" w:ascii="仿宋_GB2312" w:hAnsi="仿宋_GB2312" w:eastAsia="仿宋_GB2312" w:cs="仿宋_GB2312"/>
          <w:color w:val="auto"/>
          <w:kern w:val="0"/>
          <w:sz w:val="32"/>
          <w:szCs w:val="32"/>
        </w:rPr>
        <w:t>由</w:t>
      </w:r>
      <w:r>
        <w:rPr>
          <w:rFonts w:hint="eastAsia" w:ascii="仿宋_GB2312" w:hAnsi="仿宋_GB2312" w:eastAsia="仿宋_GB2312" w:cs="仿宋_GB2312"/>
          <w:color w:val="auto"/>
          <w:kern w:val="0"/>
          <w:sz w:val="32"/>
          <w:szCs w:val="32"/>
          <w:lang w:eastAsia="zh-CN"/>
        </w:rPr>
        <w:t>乐山</w:t>
      </w:r>
      <w:r>
        <w:rPr>
          <w:rFonts w:hint="eastAsia" w:ascii="仿宋_GB2312" w:hAnsi="仿宋_GB2312" w:eastAsia="仿宋_GB2312" w:cs="仿宋_GB2312"/>
          <w:color w:val="auto"/>
          <w:kern w:val="0"/>
          <w:sz w:val="32"/>
          <w:szCs w:val="32"/>
        </w:rPr>
        <w:t>市住房和城乡建设局负责解释。</w:t>
      </w:r>
    </w:p>
    <w:p>
      <w:pPr>
        <w:keepNext w:val="0"/>
        <w:keepLines w:val="0"/>
        <w:pageBreakBefore w:val="0"/>
        <w:widowControl w:val="0"/>
        <w:kinsoku/>
        <w:wordWrap/>
        <w:overflowPunct/>
        <w:topLinePunct w:val="0"/>
        <w:autoSpaceDE/>
        <w:autoSpaceDN/>
        <w:bidi w:val="0"/>
        <w:adjustRightInd/>
        <w:snapToGrid/>
        <w:spacing w:line="580" w:lineRule="exact"/>
        <w:ind w:firstLine="623"/>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w:t>
      </w:r>
      <w:r>
        <w:rPr>
          <w:rFonts w:hint="eastAsia" w:ascii="仿宋_GB2312" w:hAnsi="仿宋_GB2312" w:eastAsia="仿宋_GB2312" w:cs="仿宋_GB2312"/>
          <w:color w:val="auto"/>
          <w:kern w:val="0"/>
          <w:sz w:val="32"/>
          <w:szCs w:val="32"/>
          <w:lang w:val="en-US" w:eastAsia="zh-CN"/>
        </w:rPr>
        <w:t>二十二</w:t>
      </w:r>
      <w:r>
        <w:rPr>
          <w:rFonts w:hint="eastAsia" w:ascii="仿宋_GB2312" w:hAnsi="仿宋_GB2312" w:eastAsia="仿宋_GB2312" w:cs="仿宋_GB2312"/>
          <w:color w:val="auto"/>
          <w:kern w:val="0"/>
          <w:sz w:val="32"/>
          <w:szCs w:val="32"/>
        </w:rPr>
        <w:t>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本</w:t>
      </w:r>
      <w:r>
        <w:rPr>
          <w:rFonts w:hint="eastAsia" w:ascii="仿宋_GB2312" w:hAnsi="仿宋_GB2312" w:eastAsia="仿宋_GB2312" w:cs="仿宋_GB2312"/>
          <w:color w:val="auto"/>
          <w:kern w:val="0"/>
          <w:sz w:val="32"/>
          <w:szCs w:val="32"/>
          <w:lang w:eastAsia="zh-CN"/>
        </w:rPr>
        <w:t>办法</w:t>
      </w:r>
      <w:r>
        <w:rPr>
          <w:rFonts w:hint="eastAsia" w:ascii="仿宋_GB2312" w:hAnsi="仿宋_GB2312" w:eastAsia="仿宋_GB2312" w:cs="仿宋_GB2312"/>
          <w:color w:val="auto"/>
          <w:kern w:val="0"/>
          <w:sz w:val="32"/>
          <w:szCs w:val="32"/>
        </w:rPr>
        <w:t>自202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日起施行，有效期</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w:t>
      </w:r>
      <w:bookmarkStart w:id="0" w:name="_GoBack"/>
      <w:bookmarkEnd w:id="0"/>
    </w:p>
    <w:p>
      <w:pPr>
        <w:keepNext w:val="0"/>
        <w:keepLines w:val="0"/>
        <w:pageBreakBefore w:val="0"/>
        <w:shd w:val="clear"/>
        <w:kinsoku/>
        <w:wordWrap/>
        <w:overflowPunct/>
        <w:topLinePunct w:val="0"/>
        <w:autoSpaceDE/>
        <w:autoSpaceDN/>
        <w:bidi w:val="0"/>
        <w:adjustRightInd/>
        <w:spacing w:line="580" w:lineRule="exact"/>
        <w:textAlignment w:val="auto"/>
        <w:rPr>
          <w:rFonts w:ascii="Times New Roman" w:eastAsia="仿宋_GB2312" w:cs="Times New Roman"/>
          <w:color w:val="auto"/>
          <w:sz w:val="32"/>
          <w:szCs w:val="32"/>
        </w:rPr>
      </w:pPr>
    </w:p>
    <w:p>
      <w:pPr>
        <w:keepNext w:val="0"/>
        <w:keepLines w:val="0"/>
        <w:pageBreakBefore w:val="0"/>
        <w:shd w:val="clear"/>
        <w:kinsoku/>
        <w:wordWrap/>
        <w:overflowPunct/>
        <w:topLinePunct w:val="0"/>
        <w:autoSpaceDE/>
        <w:autoSpaceDN/>
        <w:bidi w:val="0"/>
        <w:adjustRightInd/>
        <w:spacing w:line="580" w:lineRule="exact"/>
        <w:ind w:firstLine="640" w:firstLineChars="200"/>
        <w:textAlignment w:val="auto"/>
        <w:rPr>
          <w:rFonts w:ascii="Times New Roman" w:eastAsia="仿宋_GB2312" w:cs="Times New Roman"/>
          <w:color w:val="auto"/>
          <w:sz w:val="32"/>
          <w:szCs w:val="32"/>
        </w:rPr>
      </w:pPr>
      <w:r>
        <w:rPr>
          <w:rFonts w:ascii="Times New Roman" w:eastAsia="仿宋_GB2312" w:cs="Times New Roman"/>
          <w:color w:val="auto"/>
          <w:sz w:val="32"/>
          <w:szCs w:val="32"/>
        </w:rPr>
        <w:t>附件：</w:t>
      </w:r>
      <w:r>
        <w:rPr>
          <w:rFonts w:hint="eastAsia" w:ascii="Times New Roman" w:eastAsia="仿宋_GB2312" w:cs="Times New Roman"/>
          <w:color w:val="auto"/>
          <w:sz w:val="32"/>
          <w:szCs w:val="32"/>
          <w:lang w:eastAsia="zh-CN"/>
        </w:rPr>
        <w:t>乐山</w:t>
      </w:r>
      <w:r>
        <w:rPr>
          <w:rFonts w:ascii="Times New Roman" w:eastAsia="仿宋_GB2312" w:cs="Times New Roman"/>
          <w:color w:val="auto"/>
          <w:sz w:val="32"/>
          <w:szCs w:val="32"/>
        </w:rPr>
        <w:t>市施工图审查机构信用评价标准</w:t>
      </w:r>
    </w:p>
    <w:p>
      <w:pPr>
        <w:keepNext w:val="0"/>
        <w:keepLines w:val="0"/>
        <w:pageBreakBefore w:val="0"/>
        <w:shd w:val="clear"/>
        <w:kinsoku/>
        <w:wordWrap/>
        <w:overflowPunct/>
        <w:topLinePunct w:val="0"/>
        <w:autoSpaceDE/>
        <w:autoSpaceDN/>
        <w:bidi w:val="0"/>
        <w:adjustRightInd/>
        <w:spacing w:line="580" w:lineRule="exact"/>
        <w:ind w:firstLine="640" w:firstLineChars="200"/>
        <w:textAlignment w:val="auto"/>
        <w:rPr>
          <w:rFonts w:ascii="Times New Roman" w:eastAsia="仿宋_GB2312" w:cs="Times New Roman"/>
          <w:color w:val="auto"/>
          <w:sz w:val="32"/>
          <w:szCs w:val="32"/>
        </w:rPr>
      </w:pPr>
      <w:r>
        <w:rPr>
          <w:rFonts w:ascii="Times New Roman" w:eastAsia="仿宋_GB2312" w:cs="Times New Roman"/>
          <w:color w:val="auto"/>
          <w:sz w:val="32"/>
          <w:szCs w:val="32"/>
        </w:rPr>
        <w:t xml:space="preserve">    </w:t>
      </w:r>
    </w:p>
    <w:p>
      <w:pPr>
        <w:keepNext w:val="0"/>
        <w:keepLines w:val="0"/>
        <w:pageBreakBefore w:val="0"/>
        <w:shd w:val="clear"/>
        <w:kinsoku/>
        <w:wordWrap/>
        <w:overflowPunct/>
        <w:topLinePunct w:val="0"/>
        <w:autoSpaceDE/>
        <w:autoSpaceDN/>
        <w:bidi w:val="0"/>
        <w:adjustRightInd/>
        <w:spacing w:line="580" w:lineRule="exact"/>
        <w:textAlignment w:val="auto"/>
        <w:rPr>
          <w:rFonts w:ascii="Times New Roman" w:cs="Times New Roman"/>
          <w:color w:val="auto"/>
        </w:rPr>
        <w:sectPr>
          <w:footerReference r:id="rId3" w:type="default"/>
          <w:footerReference r:id="rId4" w:type="even"/>
          <w:pgSz w:w="11906" w:h="16838"/>
          <w:pgMar w:top="1440" w:right="1800" w:bottom="1440" w:left="1800" w:header="851" w:footer="1418" w:gutter="0"/>
          <w:pgBorders>
            <w:top w:val="none" w:sz="0" w:space="0"/>
            <w:left w:val="none" w:sz="0" w:space="0"/>
            <w:bottom w:val="none" w:sz="0" w:space="0"/>
            <w:right w:val="none" w:sz="0" w:space="0"/>
          </w:pgBorders>
          <w:cols w:space="720" w:num="1"/>
          <w:docGrid w:type="lines" w:linePitch="312" w:charSpace="0"/>
        </w:sectPr>
      </w:pPr>
    </w:p>
    <w:p>
      <w:pPr>
        <w:pStyle w:val="9"/>
        <w:shd w:val="clear"/>
        <w:snapToGrid w:val="0"/>
        <w:spacing w:line="520" w:lineRule="exact"/>
        <w:rPr>
          <w:rFonts w:ascii="Times New Roman" w:hAnsi="Times New Roman" w:eastAsia="黑体" w:cs="Times New Roman"/>
          <w:color w:val="auto"/>
          <w:kern w:val="2"/>
          <w:sz w:val="32"/>
          <w:szCs w:val="32"/>
        </w:rPr>
      </w:pPr>
      <w:r>
        <w:rPr>
          <w:rFonts w:ascii="Times New Roman" w:hAnsi="Times New Roman" w:eastAsia="黑体" w:cs="Times New Roman"/>
          <w:color w:val="auto"/>
          <w:kern w:val="2"/>
          <w:sz w:val="32"/>
          <w:szCs w:val="32"/>
        </w:rPr>
        <w:t>附件</w:t>
      </w:r>
    </w:p>
    <w:p>
      <w:pPr>
        <w:pStyle w:val="9"/>
        <w:shd w:val="clear"/>
        <w:snapToGrid w:val="0"/>
        <w:spacing w:line="520" w:lineRule="exact"/>
        <w:jc w:val="center"/>
        <w:rPr>
          <w:rFonts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eastAsia="zh-CN"/>
        </w:rPr>
        <w:t>乐山</w:t>
      </w:r>
      <w:r>
        <w:rPr>
          <w:rFonts w:ascii="Times New Roman" w:hAnsi="Times New Roman" w:eastAsia="方正小标宋简体" w:cs="Times New Roman"/>
          <w:color w:val="auto"/>
          <w:sz w:val="44"/>
          <w:szCs w:val="44"/>
        </w:rPr>
        <w:t>市施工图审查机构信用评价标准</w:t>
      </w:r>
    </w:p>
    <w:tbl>
      <w:tblPr>
        <w:tblStyle w:val="5"/>
        <w:tblW w:w="1470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96"/>
        <w:gridCol w:w="1366"/>
        <w:gridCol w:w="4621"/>
        <w:gridCol w:w="3552"/>
        <w:gridCol w:w="1043"/>
        <w:gridCol w:w="1074"/>
        <w:gridCol w:w="1074"/>
        <w:gridCol w:w="107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7" w:hRule="atLeast"/>
          <w:tblHeader/>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黑体" w:cs="Times New Roman"/>
                <w:color w:val="auto"/>
                <w:kern w:val="0"/>
                <w:sz w:val="24"/>
                <w:szCs w:val="24"/>
              </w:rPr>
            </w:pPr>
            <w:r>
              <w:rPr>
                <w:rFonts w:ascii="Times New Roman" w:eastAsia="黑体" w:cs="Times New Roman"/>
                <w:color w:val="auto"/>
                <w:kern w:val="0"/>
                <w:sz w:val="24"/>
                <w:szCs w:val="24"/>
              </w:rPr>
              <w:t>序号</w:t>
            </w:r>
          </w:p>
        </w:tc>
        <w:tc>
          <w:tcPr>
            <w:tcW w:w="1366"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黑体" w:cs="Times New Roman"/>
                <w:color w:val="auto"/>
                <w:kern w:val="0"/>
                <w:sz w:val="24"/>
                <w:szCs w:val="24"/>
              </w:rPr>
            </w:pPr>
            <w:r>
              <w:rPr>
                <w:rFonts w:ascii="Times New Roman" w:eastAsia="黑体" w:cs="Times New Roman"/>
                <w:color w:val="auto"/>
                <w:kern w:val="0"/>
                <w:sz w:val="24"/>
                <w:szCs w:val="24"/>
              </w:rPr>
              <w:t>评价分类</w:t>
            </w:r>
          </w:p>
        </w:tc>
        <w:tc>
          <w:tcPr>
            <w:tcW w:w="4621"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黑体" w:cs="Times New Roman"/>
                <w:color w:val="auto"/>
                <w:kern w:val="0"/>
                <w:sz w:val="24"/>
                <w:szCs w:val="24"/>
              </w:rPr>
            </w:pPr>
            <w:r>
              <w:rPr>
                <w:rFonts w:ascii="Times New Roman" w:eastAsia="黑体" w:cs="Times New Roman"/>
                <w:color w:val="auto"/>
                <w:kern w:val="0"/>
                <w:sz w:val="24"/>
                <w:szCs w:val="24"/>
              </w:rPr>
              <w:t>评价项目</w:t>
            </w:r>
          </w:p>
        </w:tc>
        <w:tc>
          <w:tcPr>
            <w:tcW w:w="3552"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黑体" w:cs="Times New Roman"/>
                <w:color w:val="auto"/>
                <w:kern w:val="0"/>
                <w:sz w:val="24"/>
                <w:szCs w:val="24"/>
              </w:rPr>
            </w:pPr>
            <w:r>
              <w:rPr>
                <w:rFonts w:ascii="Times New Roman" w:eastAsia="黑体" w:cs="Times New Roman"/>
                <w:color w:val="auto"/>
                <w:kern w:val="0"/>
                <w:sz w:val="24"/>
                <w:szCs w:val="24"/>
              </w:rPr>
              <w:t>评价标准</w:t>
            </w:r>
          </w:p>
        </w:tc>
        <w:tc>
          <w:tcPr>
            <w:tcW w:w="1043"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黑体" w:cs="Times New Roman"/>
                <w:color w:val="auto"/>
                <w:kern w:val="0"/>
                <w:sz w:val="24"/>
                <w:szCs w:val="24"/>
              </w:rPr>
            </w:pPr>
            <w:r>
              <w:rPr>
                <w:rFonts w:ascii="Times New Roman" w:eastAsia="黑体" w:cs="Times New Roman"/>
                <w:color w:val="auto"/>
                <w:kern w:val="0"/>
                <w:sz w:val="24"/>
                <w:szCs w:val="24"/>
              </w:rPr>
              <w:t>分值</w:t>
            </w:r>
          </w:p>
        </w:tc>
        <w:tc>
          <w:tcPr>
            <w:tcW w:w="1074"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20" w:lineRule="exact"/>
              <w:jc w:val="center"/>
              <w:rPr>
                <w:rFonts w:ascii="Times New Roman" w:eastAsia="黑体" w:cs="Times New Roman"/>
                <w:color w:val="auto"/>
                <w:kern w:val="0"/>
                <w:sz w:val="24"/>
                <w:szCs w:val="24"/>
              </w:rPr>
            </w:pPr>
            <w:r>
              <w:rPr>
                <w:rFonts w:ascii="Times New Roman" w:eastAsia="黑体" w:cs="Times New Roman"/>
                <w:color w:val="auto"/>
                <w:kern w:val="0"/>
                <w:sz w:val="24"/>
                <w:szCs w:val="24"/>
              </w:rPr>
              <w:t>评价</w:t>
            </w:r>
          </w:p>
          <w:p>
            <w:pPr>
              <w:shd w:val="clear"/>
              <w:adjustRightInd w:val="0"/>
              <w:snapToGrid w:val="0"/>
              <w:spacing w:line="320" w:lineRule="exact"/>
              <w:jc w:val="center"/>
              <w:rPr>
                <w:rFonts w:ascii="Times New Roman" w:eastAsia="黑体" w:cs="Times New Roman"/>
                <w:color w:val="auto"/>
                <w:kern w:val="0"/>
                <w:sz w:val="24"/>
                <w:szCs w:val="24"/>
              </w:rPr>
            </w:pPr>
            <w:r>
              <w:rPr>
                <w:rFonts w:ascii="Times New Roman" w:eastAsia="黑体" w:cs="Times New Roman"/>
                <w:color w:val="auto"/>
                <w:kern w:val="0"/>
                <w:sz w:val="24"/>
                <w:szCs w:val="24"/>
              </w:rPr>
              <w:t>期限</w:t>
            </w:r>
          </w:p>
        </w:tc>
        <w:tc>
          <w:tcPr>
            <w:tcW w:w="1074"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20" w:lineRule="exact"/>
              <w:jc w:val="center"/>
              <w:rPr>
                <w:rFonts w:ascii="Times New Roman" w:eastAsia="黑体" w:cs="Times New Roman"/>
                <w:color w:val="auto"/>
                <w:kern w:val="0"/>
                <w:sz w:val="24"/>
                <w:szCs w:val="24"/>
              </w:rPr>
            </w:pPr>
            <w:r>
              <w:rPr>
                <w:rFonts w:ascii="Times New Roman" w:eastAsia="黑体" w:cs="Times New Roman"/>
                <w:color w:val="auto"/>
                <w:kern w:val="0"/>
                <w:sz w:val="24"/>
                <w:szCs w:val="24"/>
              </w:rPr>
              <w:t>采集</w:t>
            </w:r>
          </w:p>
          <w:p>
            <w:pPr>
              <w:shd w:val="clear"/>
              <w:adjustRightInd w:val="0"/>
              <w:snapToGrid w:val="0"/>
              <w:spacing w:line="320" w:lineRule="exact"/>
              <w:jc w:val="center"/>
              <w:rPr>
                <w:rFonts w:ascii="Times New Roman" w:eastAsia="黑体" w:cs="Times New Roman"/>
                <w:color w:val="auto"/>
                <w:kern w:val="0"/>
                <w:sz w:val="24"/>
                <w:szCs w:val="24"/>
              </w:rPr>
            </w:pPr>
            <w:r>
              <w:rPr>
                <w:rFonts w:ascii="Times New Roman" w:eastAsia="黑体" w:cs="Times New Roman"/>
                <w:color w:val="auto"/>
                <w:kern w:val="0"/>
                <w:sz w:val="24"/>
                <w:szCs w:val="24"/>
              </w:rPr>
              <w:t>单位</w:t>
            </w:r>
          </w:p>
        </w:tc>
        <w:tc>
          <w:tcPr>
            <w:tcW w:w="1074"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20" w:lineRule="exact"/>
              <w:jc w:val="center"/>
              <w:rPr>
                <w:rFonts w:ascii="Times New Roman" w:eastAsia="黑体" w:cs="Times New Roman"/>
                <w:color w:val="auto"/>
                <w:kern w:val="0"/>
                <w:sz w:val="24"/>
                <w:szCs w:val="24"/>
              </w:rPr>
            </w:pPr>
            <w:r>
              <w:rPr>
                <w:rFonts w:ascii="Times New Roman" w:eastAsia="黑体" w:cs="Times New Roman"/>
                <w:color w:val="auto"/>
                <w:kern w:val="0"/>
                <w:sz w:val="24"/>
                <w:szCs w:val="24"/>
              </w:rPr>
              <w:t>证明</w:t>
            </w:r>
          </w:p>
          <w:p>
            <w:pPr>
              <w:shd w:val="clear"/>
              <w:adjustRightInd w:val="0"/>
              <w:snapToGrid w:val="0"/>
              <w:spacing w:line="320" w:lineRule="exact"/>
              <w:jc w:val="center"/>
              <w:rPr>
                <w:rFonts w:ascii="Times New Roman" w:eastAsia="黑体" w:cs="Times New Roman"/>
                <w:color w:val="auto"/>
                <w:kern w:val="0"/>
                <w:sz w:val="24"/>
                <w:szCs w:val="24"/>
              </w:rPr>
            </w:pPr>
            <w:r>
              <w:rPr>
                <w:rFonts w:ascii="Times New Roman" w:eastAsia="黑体" w:cs="Times New Roman"/>
                <w:color w:val="auto"/>
                <w:kern w:val="0"/>
                <w:sz w:val="24"/>
                <w:szCs w:val="24"/>
              </w:rPr>
              <w:t>材料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23"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1.1</w:t>
            </w:r>
          </w:p>
        </w:tc>
        <w:tc>
          <w:tcPr>
            <w:tcW w:w="1366"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1.基本</w:t>
            </w:r>
          </w:p>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信息</w:t>
            </w:r>
          </w:p>
        </w:tc>
        <w:tc>
          <w:tcPr>
            <w:tcW w:w="4621"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0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施工图审查机构需登记的相关信息：</w:t>
            </w:r>
          </w:p>
          <w:p>
            <w:pPr>
              <w:shd w:val="clear"/>
              <w:adjustRightInd w:val="0"/>
              <w:snapToGrid w:val="0"/>
              <w:spacing w:line="30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（一）审查机构登记注册信息；</w:t>
            </w:r>
          </w:p>
          <w:p>
            <w:pPr>
              <w:shd w:val="clear"/>
              <w:adjustRightInd w:val="0"/>
              <w:snapToGrid w:val="0"/>
              <w:spacing w:line="30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（二）审查机构资格信息；</w:t>
            </w:r>
          </w:p>
          <w:p>
            <w:pPr>
              <w:shd w:val="clear"/>
              <w:adjustRightInd w:val="0"/>
              <w:snapToGrid w:val="0"/>
              <w:spacing w:line="30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（三）注册执业人员、工程技术人员和经济管理人员信息。</w:t>
            </w:r>
          </w:p>
        </w:tc>
        <w:tc>
          <w:tcPr>
            <w:tcW w:w="3552"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审查机构所申报的基本信息资料符合要求，通过公示后即可得90分。</w:t>
            </w:r>
          </w:p>
        </w:tc>
        <w:tc>
          <w:tcPr>
            <w:tcW w:w="1043"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90分</w:t>
            </w:r>
          </w:p>
        </w:tc>
        <w:tc>
          <w:tcPr>
            <w:tcW w:w="1074"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2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审查机构存续期内</w:t>
            </w:r>
          </w:p>
        </w:tc>
        <w:tc>
          <w:tcPr>
            <w:tcW w:w="1074"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2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企业自主诚信申报</w:t>
            </w:r>
          </w:p>
        </w:tc>
        <w:tc>
          <w:tcPr>
            <w:tcW w:w="1074"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2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企业资质证书、人员等信息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57"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2.1</w:t>
            </w:r>
          </w:p>
        </w:tc>
        <w:tc>
          <w:tcPr>
            <w:tcW w:w="1366" w:type="dxa"/>
            <w:vMerge w:val="restart"/>
            <w:tcBorders>
              <w:top w:val="nil"/>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2良好行为信息</w:t>
            </w:r>
          </w:p>
        </w:tc>
        <w:tc>
          <w:tcPr>
            <w:tcW w:w="4621" w:type="dxa"/>
            <w:vMerge w:val="restart"/>
            <w:tcBorders>
              <w:top w:val="nil"/>
              <w:left w:val="nil"/>
              <w:bottom w:val="single" w:color="auto" w:sz="4" w:space="0"/>
              <w:right w:val="single" w:color="auto" w:sz="4" w:space="0"/>
            </w:tcBorders>
            <w:noWrap/>
            <w:vAlign w:val="center"/>
          </w:tcPr>
          <w:p>
            <w:pPr>
              <w:shd w:val="clear"/>
              <w:adjustRightInd w:val="0"/>
              <w:snapToGrid w:val="0"/>
              <w:spacing w:line="340" w:lineRule="exact"/>
              <w:rPr>
                <w:rFonts w:ascii="Times New Roman" w:eastAsia="仿宋_GB2312" w:cs="Times New Roman"/>
                <w:color w:val="auto"/>
                <w:kern w:val="0"/>
                <w:sz w:val="24"/>
                <w:szCs w:val="24"/>
              </w:rPr>
            </w:pPr>
            <w:r>
              <w:rPr>
                <w:rFonts w:ascii="Times New Roman" w:eastAsia="仿宋_GB2312" w:cs="Times New Roman"/>
                <w:color w:val="auto"/>
                <w:kern w:val="0"/>
                <w:sz w:val="22"/>
                <w:szCs w:val="22"/>
              </w:rPr>
              <w:t>奖项（在</w:t>
            </w:r>
            <w:r>
              <w:rPr>
                <w:rFonts w:hint="eastAsia" w:ascii="Times New Roman" w:eastAsia="仿宋_GB2312" w:cs="Times New Roman"/>
                <w:color w:val="auto"/>
                <w:kern w:val="0"/>
                <w:sz w:val="22"/>
                <w:szCs w:val="22"/>
                <w:lang w:eastAsia="zh-CN"/>
              </w:rPr>
              <w:t>嘉</w:t>
            </w:r>
            <w:r>
              <w:rPr>
                <w:rFonts w:ascii="Times New Roman" w:eastAsia="仿宋_GB2312" w:cs="Times New Roman"/>
                <w:color w:val="auto"/>
                <w:kern w:val="0"/>
                <w:sz w:val="22"/>
                <w:szCs w:val="22"/>
              </w:rPr>
              <w:t>从事</w:t>
            </w:r>
            <w:r>
              <w:rPr>
                <w:rFonts w:hint="eastAsia" w:ascii="Times New Roman" w:eastAsia="仿宋_GB2312" w:cs="Times New Roman"/>
                <w:color w:val="auto"/>
                <w:kern w:val="0"/>
                <w:sz w:val="22"/>
                <w:szCs w:val="22"/>
                <w:lang w:eastAsia="zh-CN"/>
              </w:rPr>
              <w:t>施工图审查</w:t>
            </w:r>
            <w:r>
              <w:rPr>
                <w:rFonts w:ascii="Times New Roman" w:eastAsia="仿宋_GB2312" w:cs="Times New Roman"/>
                <w:color w:val="auto"/>
                <w:kern w:val="0"/>
                <w:sz w:val="22"/>
                <w:szCs w:val="22"/>
              </w:rPr>
              <w:t>活动获得各种奖项和表彰的；同一工程项目同类奖项以最高奖项计算，不重复计分。）</w:t>
            </w:r>
          </w:p>
        </w:tc>
        <w:tc>
          <w:tcPr>
            <w:tcW w:w="3552" w:type="dxa"/>
            <w:vMerge w:val="restart"/>
            <w:tcBorders>
              <w:top w:val="single" w:color="auto" w:sz="4" w:space="0"/>
              <w:left w:val="nil"/>
              <w:right w:val="single" w:color="auto" w:sz="4" w:space="0"/>
            </w:tcBorders>
            <w:noWrap/>
            <w:vAlign w:val="center"/>
          </w:tcPr>
          <w:p>
            <w:pPr>
              <w:shd w:val="clear"/>
              <w:adjustRightInd w:val="0"/>
              <w:snapToGrid w:val="0"/>
              <w:spacing w:line="300" w:lineRule="exact"/>
              <w:rPr>
                <w:rFonts w:hint="default" w:ascii="Times New Roman" w:eastAsia="仿宋_GB2312" w:cs="Times New Roman"/>
                <w:color w:val="auto"/>
                <w:kern w:val="0"/>
                <w:sz w:val="24"/>
                <w:szCs w:val="24"/>
                <w:lang w:val="en-US" w:eastAsia="zh-CN"/>
              </w:rPr>
            </w:pPr>
            <w:r>
              <w:rPr>
                <w:rFonts w:ascii="Times New Roman" w:eastAsia="仿宋_GB2312" w:cs="Times New Roman"/>
                <w:color w:val="auto"/>
                <w:kern w:val="0"/>
                <w:sz w:val="22"/>
                <w:szCs w:val="22"/>
              </w:rPr>
              <w:t>获得住建部、四川省委省政府</w:t>
            </w:r>
            <w:r>
              <w:rPr>
                <w:rFonts w:hint="eastAsia" w:ascii="Times New Roman" w:eastAsia="仿宋_GB2312" w:cs="Times New Roman"/>
                <w:color w:val="auto"/>
                <w:kern w:val="0"/>
                <w:sz w:val="22"/>
                <w:szCs w:val="22"/>
                <w:lang w:eastAsia="zh-CN"/>
              </w:rPr>
              <w:t>以上</w:t>
            </w:r>
            <w:r>
              <w:rPr>
                <w:rFonts w:ascii="Times New Roman" w:eastAsia="仿宋_GB2312" w:cs="Times New Roman"/>
                <w:color w:val="auto"/>
                <w:kern w:val="0"/>
                <w:sz w:val="22"/>
                <w:szCs w:val="22"/>
              </w:rPr>
              <w:t>表彰的加</w:t>
            </w:r>
            <w:r>
              <w:rPr>
                <w:rFonts w:hint="eastAsia" w:ascii="Times New Roman" w:eastAsia="仿宋_GB2312" w:cs="Times New Roman"/>
                <w:color w:val="auto"/>
                <w:kern w:val="0"/>
                <w:sz w:val="22"/>
                <w:szCs w:val="22"/>
                <w:lang w:val="en-US" w:eastAsia="zh-CN"/>
              </w:rPr>
              <w:t>4</w:t>
            </w:r>
            <w:r>
              <w:rPr>
                <w:rFonts w:ascii="Times New Roman" w:eastAsia="仿宋_GB2312" w:cs="Times New Roman"/>
                <w:color w:val="auto"/>
                <w:kern w:val="0"/>
                <w:sz w:val="22"/>
                <w:szCs w:val="22"/>
              </w:rPr>
              <w:t>分/次；获得四川省住建厅、</w:t>
            </w:r>
            <w:r>
              <w:rPr>
                <w:rFonts w:hint="eastAsia" w:ascii="Times New Roman" w:eastAsia="仿宋_GB2312" w:cs="Times New Roman"/>
                <w:color w:val="auto"/>
                <w:kern w:val="0"/>
                <w:sz w:val="22"/>
                <w:szCs w:val="22"/>
                <w:lang w:eastAsia="zh-CN"/>
              </w:rPr>
              <w:t>乐山</w:t>
            </w:r>
            <w:r>
              <w:rPr>
                <w:rFonts w:ascii="Times New Roman" w:eastAsia="仿宋_GB2312" w:cs="Times New Roman"/>
                <w:color w:val="auto"/>
                <w:kern w:val="0"/>
                <w:sz w:val="22"/>
                <w:szCs w:val="22"/>
              </w:rPr>
              <w:t>市委市政府表彰的加</w:t>
            </w:r>
            <w:r>
              <w:rPr>
                <w:rFonts w:hint="eastAsia" w:ascii="Times New Roman" w:eastAsia="仿宋_GB2312" w:cs="Times New Roman"/>
                <w:color w:val="auto"/>
                <w:kern w:val="0"/>
                <w:sz w:val="22"/>
                <w:szCs w:val="22"/>
                <w:lang w:val="en-US" w:eastAsia="zh-CN"/>
              </w:rPr>
              <w:t>2</w:t>
            </w:r>
            <w:r>
              <w:rPr>
                <w:rFonts w:ascii="Times New Roman" w:eastAsia="仿宋_GB2312" w:cs="Times New Roman"/>
                <w:color w:val="auto"/>
                <w:kern w:val="0"/>
                <w:sz w:val="22"/>
                <w:szCs w:val="22"/>
              </w:rPr>
              <w:t>分/次；获得市住建局和区县政府表彰的加</w:t>
            </w:r>
            <w:r>
              <w:rPr>
                <w:rFonts w:hint="eastAsia" w:ascii="Times New Roman" w:eastAsia="仿宋_GB2312" w:cs="Times New Roman"/>
                <w:color w:val="auto"/>
                <w:kern w:val="0"/>
                <w:sz w:val="22"/>
                <w:szCs w:val="22"/>
                <w:lang w:val="en-US" w:eastAsia="zh-CN"/>
              </w:rPr>
              <w:t>1</w:t>
            </w:r>
            <w:r>
              <w:rPr>
                <w:rFonts w:ascii="Times New Roman" w:eastAsia="仿宋_GB2312" w:cs="Times New Roman"/>
                <w:color w:val="auto"/>
                <w:kern w:val="0"/>
                <w:sz w:val="22"/>
                <w:szCs w:val="22"/>
              </w:rPr>
              <w:t>分/次</w:t>
            </w:r>
            <w:r>
              <w:rPr>
                <w:rFonts w:hint="eastAsia" w:ascii="Times New Roman" w:eastAsia="仿宋_GB2312" w:cs="Times New Roman"/>
                <w:color w:val="auto"/>
                <w:kern w:val="0"/>
                <w:sz w:val="22"/>
                <w:szCs w:val="22"/>
                <w:lang w:eastAsia="zh-CN"/>
              </w:rPr>
              <w:t>（最高</w:t>
            </w:r>
            <w:r>
              <w:rPr>
                <w:rFonts w:hint="eastAsia" w:ascii="Times New Roman" w:eastAsia="仿宋_GB2312" w:cs="Times New Roman"/>
                <w:color w:val="auto"/>
                <w:kern w:val="0"/>
                <w:sz w:val="22"/>
                <w:szCs w:val="22"/>
                <w:lang w:val="en-US" w:eastAsia="zh-CN"/>
              </w:rPr>
              <w:t>4分</w:t>
            </w:r>
            <w:r>
              <w:rPr>
                <w:rFonts w:hint="eastAsia" w:ascii="Times New Roman" w:eastAsia="仿宋_GB2312" w:cs="Times New Roman"/>
                <w:color w:val="auto"/>
                <w:kern w:val="0"/>
                <w:sz w:val="22"/>
                <w:szCs w:val="22"/>
                <w:lang w:eastAsia="zh-CN"/>
              </w:rPr>
              <w:t>）</w:t>
            </w:r>
            <w:r>
              <w:rPr>
                <w:rFonts w:ascii="Times New Roman" w:eastAsia="仿宋_GB2312" w:cs="Times New Roman"/>
                <w:color w:val="auto"/>
                <w:kern w:val="0"/>
                <w:sz w:val="22"/>
                <w:szCs w:val="22"/>
              </w:rPr>
              <w:t>。</w:t>
            </w:r>
          </w:p>
        </w:tc>
        <w:tc>
          <w:tcPr>
            <w:tcW w:w="1043" w:type="dxa"/>
            <w:vMerge w:val="restart"/>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380" w:lineRule="exact"/>
              <w:jc w:val="center"/>
              <w:rPr>
                <w:rFonts w:hint="default" w:ascii="Times New Roman" w:eastAsia="仿宋_GB2312" w:cs="Times New Roman"/>
                <w:color w:val="auto"/>
                <w:kern w:val="0"/>
                <w:sz w:val="24"/>
                <w:szCs w:val="24"/>
                <w:lang w:val="en-US" w:eastAsia="zh-CN"/>
              </w:rPr>
            </w:pPr>
            <w:r>
              <w:rPr>
                <w:rFonts w:hint="eastAsia" w:ascii="Times New Roman" w:eastAsia="仿宋_GB2312" w:cs="Times New Roman"/>
                <w:color w:val="auto"/>
                <w:kern w:val="0"/>
                <w:sz w:val="24"/>
                <w:szCs w:val="24"/>
                <w:lang w:val="en-US" w:eastAsia="zh-CN"/>
              </w:rPr>
              <w:t>10</w:t>
            </w:r>
          </w:p>
        </w:tc>
        <w:tc>
          <w:tcPr>
            <w:tcW w:w="1074"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2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自奖项认定材料发布之日起24个月</w:t>
            </w:r>
          </w:p>
        </w:tc>
        <w:tc>
          <w:tcPr>
            <w:tcW w:w="1074" w:type="dxa"/>
            <w:vMerge w:val="restart"/>
            <w:tcBorders>
              <w:top w:val="nil"/>
              <w:left w:val="nil"/>
              <w:bottom w:val="single" w:color="auto" w:sz="4" w:space="0"/>
              <w:right w:val="single" w:color="auto" w:sz="4" w:space="0"/>
            </w:tcBorders>
            <w:noWrap/>
            <w:vAlign w:val="center"/>
          </w:tcPr>
          <w:p>
            <w:pPr>
              <w:shd w:val="clear"/>
              <w:adjustRightInd w:val="0"/>
              <w:snapToGrid w:val="0"/>
              <w:spacing w:line="32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企业自主诚信申报</w:t>
            </w:r>
            <w:r>
              <w:rPr>
                <w:rFonts w:ascii="Times New Roman" w:eastAsia="仿宋_GB2312" w:cs="Times New Roman"/>
                <w:color w:val="auto"/>
                <w:kern w:val="0"/>
                <w:sz w:val="22"/>
                <w:szCs w:val="22"/>
              </w:rPr>
              <w:t>企业自主诚信申报</w:t>
            </w:r>
          </w:p>
        </w:tc>
        <w:tc>
          <w:tcPr>
            <w:tcW w:w="1074" w:type="dxa"/>
            <w:vMerge w:val="restart"/>
            <w:tcBorders>
              <w:top w:val="nil"/>
              <w:left w:val="nil"/>
              <w:bottom w:val="single" w:color="auto" w:sz="4" w:space="0"/>
              <w:right w:val="single" w:color="auto" w:sz="4" w:space="0"/>
            </w:tcBorders>
            <w:noWrap/>
            <w:vAlign w:val="center"/>
          </w:tcPr>
          <w:p>
            <w:pPr>
              <w:shd w:val="clear"/>
              <w:adjustRightInd w:val="0"/>
              <w:snapToGrid w:val="0"/>
              <w:spacing w:line="32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表彰或获奖证书扫描件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270"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2.2</w:t>
            </w:r>
          </w:p>
        </w:tc>
        <w:tc>
          <w:tcPr>
            <w:tcW w:w="13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4621"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3552" w:type="dxa"/>
            <w:vMerge w:val="continue"/>
            <w:tcBorders>
              <w:left w:val="nil"/>
              <w:bottom w:val="single" w:color="auto" w:sz="4" w:space="0"/>
              <w:right w:val="single" w:color="auto" w:sz="4" w:space="0"/>
            </w:tcBorders>
            <w:noWrap/>
            <w:vAlign w:val="center"/>
          </w:tcPr>
          <w:p>
            <w:pPr>
              <w:shd w:val="clear"/>
              <w:adjustRightInd w:val="0"/>
              <w:snapToGrid w:val="0"/>
              <w:spacing w:line="300" w:lineRule="exact"/>
              <w:rPr>
                <w:rFonts w:ascii="Times New Roman" w:eastAsia="仿宋_GB2312" w:cs="Times New Roman"/>
                <w:color w:val="auto"/>
                <w:kern w:val="0"/>
                <w:sz w:val="24"/>
                <w:szCs w:val="24"/>
              </w:rPr>
            </w:pPr>
          </w:p>
        </w:tc>
        <w:tc>
          <w:tcPr>
            <w:tcW w:w="1043" w:type="dxa"/>
            <w:vMerge w:val="continue"/>
            <w:tcBorders>
              <w:top w:val="single" w:color="auto" w:sz="4" w:space="0"/>
              <w:left w:val="single" w:color="auto" w:sz="4" w:space="0"/>
              <w:bottom w:val="single" w:color="auto" w:sz="4" w:space="0"/>
              <w:right w:val="single" w:color="auto" w:sz="4" w:space="0"/>
            </w:tcBorders>
            <w:noWrap/>
            <w:vAlign w:val="center"/>
          </w:tcPr>
          <w:p>
            <w:pPr>
              <w:shd w:val="clear"/>
              <w:rPr>
                <w:rFonts w:ascii="Times New Roman" w:cs="Times New Roman"/>
                <w:color w:val="auto"/>
              </w:rPr>
            </w:pPr>
          </w:p>
        </w:tc>
        <w:tc>
          <w:tcPr>
            <w:tcW w:w="1074"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6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自奖项认定材料发布之日起12个月</w:t>
            </w: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2.3</w:t>
            </w:r>
          </w:p>
        </w:tc>
        <w:tc>
          <w:tcPr>
            <w:tcW w:w="13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4621"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60" w:lineRule="exac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入选为</w:t>
            </w:r>
            <w:r>
              <w:rPr>
                <w:rFonts w:hint="eastAsia" w:ascii="Times New Roman" w:eastAsia="仿宋_GB2312" w:cs="Times New Roman"/>
                <w:color w:val="auto"/>
                <w:kern w:val="0"/>
                <w:sz w:val="24"/>
                <w:szCs w:val="24"/>
                <w:lang w:eastAsia="zh-CN"/>
              </w:rPr>
              <w:t>乐山</w:t>
            </w:r>
            <w:r>
              <w:rPr>
                <w:rFonts w:ascii="Times New Roman" w:eastAsia="仿宋_GB2312" w:cs="Times New Roman"/>
                <w:color w:val="auto"/>
                <w:kern w:val="0"/>
                <w:sz w:val="24"/>
                <w:szCs w:val="24"/>
              </w:rPr>
              <w:t>市住房和城乡建设局专家库成员的）。</w:t>
            </w:r>
          </w:p>
        </w:tc>
        <w:tc>
          <w:tcPr>
            <w:tcW w:w="3552"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60" w:lineRule="exac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所在施工图审查机构可获得0.5分/人的加分</w:t>
            </w:r>
            <w:r>
              <w:rPr>
                <w:rFonts w:ascii="Times New Roman" w:eastAsia="仿宋_GB2312" w:cs="Times New Roman"/>
                <w:color w:val="auto"/>
                <w:kern w:val="0"/>
                <w:sz w:val="22"/>
                <w:szCs w:val="22"/>
              </w:rPr>
              <w:t>（最高</w:t>
            </w:r>
            <w:r>
              <w:rPr>
                <w:rFonts w:hint="eastAsia" w:ascii="Times New Roman" w:eastAsia="仿宋_GB2312" w:cs="Times New Roman"/>
                <w:color w:val="auto"/>
                <w:kern w:val="0"/>
                <w:sz w:val="22"/>
                <w:szCs w:val="22"/>
                <w:lang w:val="en-US" w:eastAsia="zh-CN"/>
              </w:rPr>
              <w:t>2</w:t>
            </w:r>
            <w:r>
              <w:rPr>
                <w:rFonts w:ascii="Times New Roman" w:eastAsia="仿宋_GB2312" w:cs="Times New Roman"/>
                <w:color w:val="auto"/>
                <w:kern w:val="0"/>
                <w:sz w:val="22"/>
                <w:szCs w:val="22"/>
              </w:rPr>
              <w:t>分）</w:t>
            </w:r>
          </w:p>
        </w:tc>
        <w:tc>
          <w:tcPr>
            <w:tcW w:w="1043" w:type="dxa"/>
            <w:vMerge w:val="continue"/>
            <w:tcBorders>
              <w:top w:val="single" w:color="auto" w:sz="4" w:space="0"/>
              <w:left w:val="single" w:color="auto" w:sz="4" w:space="0"/>
              <w:bottom w:val="single" w:color="auto" w:sz="4" w:space="0"/>
              <w:right w:val="single" w:color="auto" w:sz="4" w:space="0"/>
            </w:tcBorders>
            <w:noWrap/>
            <w:vAlign w:val="center"/>
          </w:tcPr>
          <w:p>
            <w:pPr>
              <w:shd w:val="clear"/>
              <w:rPr>
                <w:rFonts w:ascii="Times New Roman" w:cs="Times New Roman"/>
                <w:color w:val="auto"/>
              </w:rPr>
            </w:pPr>
          </w:p>
        </w:tc>
        <w:tc>
          <w:tcPr>
            <w:tcW w:w="1074"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0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4"/>
                <w:szCs w:val="24"/>
              </w:rPr>
              <w:t>自列为专家库之日起至移除专家库之日止</w:t>
            </w: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4"/>
                <w:szCs w:val="24"/>
              </w:rPr>
              <w:t>专家聘书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hint="default" w:ascii="Times New Roman" w:eastAsia="仿宋_GB2312" w:cs="Times New Roman"/>
                <w:color w:val="auto"/>
                <w:kern w:val="0"/>
                <w:sz w:val="24"/>
                <w:szCs w:val="24"/>
                <w:lang w:val="en-US" w:eastAsia="zh-CN"/>
              </w:rPr>
            </w:pPr>
            <w:r>
              <w:rPr>
                <w:rFonts w:hint="eastAsia" w:ascii="Times New Roman" w:eastAsia="仿宋_GB2312" w:cs="Times New Roman"/>
                <w:color w:val="auto"/>
                <w:kern w:val="0"/>
                <w:sz w:val="24"/>
                <w:szCs w:val="24"/>
                <w:lang w:val="en-US" w:eastAsia="zh-CN"/>
              </w:rPr>
              <w:t>2.4</w:t>
            </w:r>
          </w:p>
        </w:tc>
        <w:tc>
          <w:tcPr>
            <w:tcW w:w="13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4621"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hint="eastAsia" w:ascii="Times New Roman" w:hAnsi="Times New Roman" w:eastAsia="仿宋_GB2312" w:cs="Times New Roman"/>
                <w:color w:val="auto"/>
                <w:kern w:val="0"/>
                <w:sz w:val="22"/>
                <w:szCs w:val="22"/>
                <w:lang w:val="en-US" w:eastAsia="zh-CN" w:bidi="ar-SA"/>
              </w:rPr>
            </w:pPr>
            <w:r>
              <w:rPr>
                <w:rFonts w:hint="eastAsia" w:ascii="Times New Roman" w:eastAsia="仿宋_GB2312" w:cs="Times New Roman"/>
                <w:color w:val="auto"/>
                <w:kern w:val="0"/>
                <w:sz w:val="22"/>
                <w:szCs w:val="22"/>
                <w:lang w:eastAsia="zh-CN"/>
              </w:rPr>
              <w:t>行业发展研究</w:t>
            </w:r>
          </w:p>
        </w:tc>
        <w:tc>
          <w:tcPr>
            <w:tcW w:w="3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hint="default" w:ascii="Times New Roman" w:hAnsi="Times New Roman" w:eastAsia="仿宋_GB2312" w:cs="Times New Roman"/>
                <w:color w:val="auto"/>
                <w:kern w:val="0"/>
                <w:sz w:val="22"/>
                <w:szCs w:val="22"/>
                <w:lang w:val="en-US" w:eastAsia="zh-CN" w:bidi="ar-SA"/>
              </w:rPr>
            </w:pPr>
            <w:r>
              <w:rPr>
                <w:rFonts w:hint="eastAsia" w:ascii="Times New Roman" w:eastAsia="仿宋_GB2312" w:cs="Times New Roman"/>
                <w:color w:val="auto"/>
                <w:kern w:val="0"/>
                <w:sz w:val="22"/>
                <w:szCs w:val="22"/>
                <w:lang w:eastAsia="zh-CN"/>
              </w:rPr>
              <w:t>施工图审查机构非盈利性参与本地建设行政主管部门重大课题、政策、行业标准制定等任务。</w:t>
            </w:r>
            <w:r>
              <w:rPr>
                <w:rFonts w:hint="eastAsia" w:ascii="Times New Roman" w:eastAsia="仿宋_GB2312" w:cs="Times New Roman"/>
                <w:color w:val="auto"/>
                <w:kern w:val="0"/>
                <w:sz w:val="22"/>
                <w:szCs w:val="22"/>
                <w:lang w:val="en-US" w:eastAsia="zh-CN"/>
              </w:rPr>
              <w:t>1分/次（最高2分）。</w:t>
            </w:r>
          </w:p>
        </w:tc>
        <w:tc>
          <w:tcPr>
            <w:tcW w:w="1043"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eastAsia" w:ascii="Times New Roman" w:hAnsi="Times New Roman" w:eastAsia="仿宋_GB2312" w:cs="Times New Roman"/>
                <w:color w:val="auto"/>
                <w:kern w:val="0"/>
                <w:sz w:val="22"/>
                <w:szCs w:val="22"/>
                <w:lang w:val="en-US" w:eastAsia="zh-CN" w:bidi="ar-SA"/>
              </w:rPr>
            </w:pPr>
          </w:p>
        </w:tc>
        <w:tc>
          <w:tcPr>
            <w:tcW w:w="1074"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ascii="Times New Roman" w:hAnsi="Times New Roman" w:eastAsia="仿宋_GB2312" w:cs="Times New Roman"/>
                <w:color w:val="auto"/>
                <w:kern w:val="0"/>
                <w:sz w:val="22"/>
                <w:szCs w:val="22"/>
                <w:lang w:val="en-US" w:eastAsia="zh-CN" w:bidi="ar-SA"/>
              </w:rPr>
            </w:pPr>
            <w:r>
              <w:rPr>
                <w:rFonts w:ascii="Times New Roman" w:eastAsia="仿宋_GB2312" w:cs="Times New Roman"/>
                <w:color w:val="auto"/>
                <w:kern w:val="0"/>
                <w:sz w:val="22"/>
                <w:szCs w:val="22"/>
              </w:rPr>
              <w:t>自评价生效之日起12个月</w:t>
            </w:r>
          </w:p>
        </w:tc>
        <w:tc>
          <w:tcPr>
            <w:tcW w:w="1074" w:type="dxa"/>
            <w:vMerge w:val="continue"/>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imes New Roman" w:hAnsi="Times New Roman" w:eastAsia="仿宋_GB2312" w:cs="Times New Roman"/>
                <w:color w:val="auto"/>
                <w:kern w:val="0"/>
                <w:sz w:val="22"/>
                <w:szCs w:val="22"/>
                <w:lang w:val="en-US" w:eastAsia="zh-CN" w:bidi="ar-SA"/>
              </w:rPr>
            </w:pPr>
          </w:p>
        </w:tc>
        <w:tc>
          <w:tcPr>
            <w:tcW w:w="1074"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ascii="Times New Roman" w:hAnsi="Times New Roman" w:eastAsia="仿宋_GB2312" w:cs="Times New Roman"/>
                <w:color w:val="auto"/>
                <w:kern w:val="0"/>
                <w:sz w:val="22"/>
                <w:szCs w:val="22"/>
                <w:lang w:val="en-US" w:eastAsia="zh-CN" w:bidi="ar-SA"/>
              </w:rPr>
            </w:pPr>
            <w:r>
              <w:rPr>
                <w:rFonts w:hint="eastAsia" w:ascii="Times New Roman" w:eastAsia="仿宋_GB2312" w:cs="Times New Roman"/>
                <w:color w:val="auto"/>
                <w:kern w:val="0"/>
                <w:sz w:val="22"/>
                <w:szCs w:val="22"/>
                <w:lang w:eastAsia="zh-CN"/>
              </w:rPr>
              <w:t>成果材料、</w:t>
            </w:r>
            <w:r>
              <w:rPr>
                <w:rFonts w:ascii="Times New Roman" w:eastAsia="仿宋_GB2312" w:cs="Times New Roman"/>
                <w:color w:val="auto"/>
                <w:kern w:val="0"/>
                <w:sz w:val="22"/>
                <w:szCs w:val="22"/>
              </w:rPr>
              <w:t>行业主管部门认可材料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hint="eastAsia" w:ascii="Times New Roman" w:eastAsia="仿宋_GB2312" w:cs="Times New Roman"/>
                <w:color w:val="auto"/>
                <w:kern w:val="0"/>
                <w:sz w:val="24"/>
                <w:szCs w:val="24"/>
                <w:lang w:eastAsia="zh-CN"/>
              </w:rPr>
            </w:pPr>
            <w:r>
              <w:rPr>
                <w:rFonts w:ascii="Times New Roman" w:eastAsia="仿宋_GB2312" w:cs="Times New Roman"/>
                <w:color w:val="auto"/>
                <w:kern w:val="0"/>
                <w:sz w:val="24"/>
                <w:szCs w:val="24"/>
              </w:rPr>
              <w:t>2.</w:t>
            </w:r>
            <w:r>
              <w:rPr>
                <w:rFonts w:hint="eastAsia" w:ascii="Times New Roman" w:eastAsia="仿宋_GB2312" w:cs="Times New Roman"/>
                <w:color w:val="auto"/>
                <w:kern w:val="0"/>
                <w:sz w:val="24"/>
                <w:szCs w:val="24"/>
                <w:lang w:val="en-US" w:eastAsia="zh-CN"/>
              </w:rPr>
              <w:t>5</w:t>
            </w:r>
          </w:p>
        </w:tc>
        <w:tc>
          <w:tcPr>
            <w:tcW w:w="13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4621"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60" w:lineRule="exac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协助行政主管部门处理急难任务或提供技术支持的。</w:t>
            </w:r>
          </w:p>
        </w:tc>
        <w:tc>
          <w:tcPr>
            <w:tcW w:w="3552"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60" w:lineRule="exac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所在施工图审查机构可获得1分/次的加分（最高</w:t>
            </w:r>
            <w:r>
              <w:rPr>
                <w:rFonts w:hint="eastAsia" w:ascii="Times New Roman" w:eastAsia="仿宋_GB2312" w:cs="Times New Roman"/>
                <w:color w:val="auto"/>
                <w:kern w:val="0"/>
                <w:sz w:val="24"/>
                <w:szCs w:val="24"/>
                <w:lang w:val="en-US" w:eastAsia="zh-CN"/>
              </w:rPr>
              <w:t>2</w:t>
            </w:r>
            <w:r>
              <w:rPr>
                <w:rFonts w:ascii="Times New Roman" w:eastAsia="仿宋_GB2312" w:cs="Times New Roman"/>
                <w:color w:val="auto"/>
                <w:kern w:val="0"/>
                <w:sz w:val="24"/>
                <w:szCs w:val="24"/>
              </w:rPr>
              <w:t>分）。</w:t>
            </w:r>
          </w:p>
        </w:tc>
        <w:tc>
          <w:tcPr>
            <w:tcW w:w="1043" w:type="dxa"/>
            <w:vMerge w:val="continue"/>
            <w:tcBorders>
              <w:top w:val="single" w:color="auto" w:sz="4" w:space="0"/>
              <w:left w:val="single" w:color="auto" w:sz="4" w:space="0"/>
              <w:bottom w:val="single" w:color="auto" w:sz="4" w:space="0"/>
              <w:right w:val="single" w:color="auto" w:sz="4" w:space="0"/>
            </w:tcBorders>
            <w:noWrap/>
            <w:vAlign w:val="center"/>
          </w:tcPr>
          <w:p>
            <w:pPr>
              <w:shd w:val="clear"/>
              <w:rPr>
                <w:rFonts w:ascii="Times New Roman" w:cs="Times New Roman"/>
                <w:color w:val="auto"/>
              </w:rPr>
            </w:pPr>
          </w:p>
        </w:tc>
        <w:tc>
          <w:tcPr>
            <w:tcW w:w="1074"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4"/>
                <w:szCs w:val="24"/>
              </w:rPr>
              <w:t>自发文之日起12个月</w:t>
            </w: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4"/>
                <w:szCs w:val="24"/>
              </w:rPr>
              <w:t>主管部门印发的文件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0"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3.1</w:t>
            </w:r>
          </w:p>
        </w:tc>
        <w:tc>
          <w:tcPr>
            <w:tcW w:w="1366" w:type="dxa"/>
            <w:vMerge w:val="restart"/>
            <w:tcBorders>
              <w:top w:val="nil"/>
              <w:left w:val="nil"/>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3.市场行为类不良行为信息</w:t>
            </w:r>
          </w:p>
        </w:tc>
        <w:tc>
          <w:tcPr>
            <w:tcW w:w="4621"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选择性接受施工图审查业务行为的。</w:t>
            </w:r>
          </w:p>
        </w:tc>
        <w:tc>
          <w:tcPr>
            <w:tcW w:w="3552"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8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扣2分/次</w:t>
            </w:r>
          </w:p>
        </w:tc>
        <w:tc>
          <w:tcPr>
            <w:tcW w:w="1043" w:type="dxa"/>
            <w:vMerge w:val="restart"/>
            <w:tcBorders>
              <w:top w:val="single" w:color="auto" w:sz="4" w:space="0"/>
              <w:left w:val="nil"/>
              <w:bottom w:val="single" w:color="auto" w:sz="4" w:space="0"/>
              <w:right w:val="single" w:color="auto" w:sz="4" w:space="0"/>
            </w:tcBorders>
            <w:noWrap/>
            <w:vAlign w:val="center"/>
          </w:tcPr>
          <w:p>
            <w:pPr>
              <w:shd w:val="clear"/>
              <w:adjustRightInd w:val="0"/>
              <w:snapToGrid w:val="0"/>
              <w:spacing w:line="380" w:lineRule="exact"/>
              <w:jc w:val="center"/>
              <w:rPr>
                <w:rFonts w:ascii="Times New Roman" w:eastAsia="仿宋_GB2312" w:cs="Times New Roman"/>
                <w:color w:val="auto"/>
                <w:kern w:val="0"/>
                <w:sz w:val="24"/>
                <w:szCs w:val="24"/>
              </w:rPr>
            </w:pPr>
          </w:p>
        </w:tc>
        <w:tc>
          <w:tcPr>
            <w:tcW w:w="1074" w:type="dxa"/>
            <w:vMerge w:val="restart"/>
            <w:tcBorders>
              <w:top w:val="nil"/>
              <w:left w:val="nil"/>
              <w:bottom w:val="single" w:color="auto" w:sz="4" w:space="0"/>
              <w:right w:val="single" w:color="auto" w:sz="4" w:space="0"/>
            </w:tcBorders>
            <w:noWrap/>
            <w:vAlign w:val="center"/>
          </w:tcPr>
          <w:p>
            <w:pPr>
              <w:shd w:val="clea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自评价生效之日起12个月</w:t>
            </w:r>
          </w:p>
        </w:tc>
        <w:tc>
          <w:tcPr>
            <w:tcW w:w="1074" w:type="dxa"/>
            <w:vMerge w:val="restart"/>
            <w:tcBorders>
              <w:top w:val="nil"/>
              <w:left w:val="nil"/>
              <w:bottom w:val="single" w:color="auto" w:sz="4" w:space="0"/>
              <w:right w:val="single" w:color="auto" w:sz="4" w:space="0"/>
            </w:tcBorders>
            <w:noWrap/>
            <w:vAlign w:val="center"/>
          </w:tcPr>
          <w:p>
            <w:pPr>
              <w:shd w:val="clea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住房城乡建设主管部门</w:t>
            </w:r>
          </w:p>
        </w:tc>
        <w:tc>
          <w:tcPr>
            <w:tcW w:w="1074" w:type="dxa"/>
            <w:vMerge w:val="restart"/>
            <w:tcBorders>
              <w:top w:val="nil"/>
              <w:left w:val="nil"/>
              <w:bottom w:val="single" w:color="auto" w:sz="4" w:space="0"/>
              <w:right w:val="single" w:color="auto" w:sz="4" w:space="0"/>
            </w:tcBorders>
            <w:noWrap/>
            <w:vAlign w:val="center"/>
          </w:tcPr>
          <w:p>
            <w:pPr>
              <w:shd w:val="clear"/>
              <w:adjustRightInd w:val="0"/>
              <w:snapToGrid w:val="0"/>
              <w:spacing w:line="340" w:lineRule="exact"/>
              <w:jc w:val="center"/>
              <w:rPr>
                <w:rFonts w:ascii="Times New Roman" w:eastAsia="仿宋_GB2312" w:cs="Times New Roman"/>
                <w:color w:val="auto"/>
                <w:kern w:val="0"/>
                <w:sz w:val="22"/>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3.2</w:t>
            </w:r>
          </w:p>
        </w:tc>
        <w:tc>
          <w:tcPr>
            <w:tcW w:w="1366" w:type="dxa"/>
            <w:vMerge w:val="continue"/>
            <w:tcBorders>
              <w:left w:val="nil"/>
              <w:right w:val="single" w:color="auto" w:sz="4" w:space="0"/>
            </w:tcBorders>
            <w:noWrap/>
            <w:vAlign w:val="center"/>
          </w:tcPr>
          <w:p>
            <w:pPr>
              <w:shd w:val="clear"/>
              <w:rPr>
                <w:rFonts w:ascii="Times New Roman" w:cs="Times New Roman"/>
                <w:color w:val="auto"/>
              </w:rPr>
            </w:pPr>
          </w:p>
        </w:tc>
        <w:tc>
          <w:tcPr>
            <w:tcW w:w="4621"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未与建设单位签订审查合同，便开展审查业务的。</w:t>
            </w:r>
          </w:p>
        </w:tc>
        <w:tc>
          <w:tcPr>
            <w:tcW w:w="3552"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8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扣2分/次</w:t>
            </w:r>
          </w:p>
        </w:tc>
        <w:tc>
          <w:tcPr>
            <w:tcW w:w="1043" w:type="dxa"/>
            <w:vMerge w:val="continue"/>
            <w:tcBorders>
              <w:top w:val="single" w:color="auto" w:sz="4" w:space="0"/>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53"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3.3</w:t>
            </w:r>
          </w:p>
        </w:tc>
        <w:tc>
          <w:tcPr>
            <w:tcW w:w="1366" w:type="dxa"/>
            <w:vMerge w:val="continue"/>
            <w:tcBorders>
              <w:left w:val="nil"/>
              <w:right w:val="single" w:color="auto" w:sz="4" w:space="0"/>
            </w:tcBorders>
            <w:noWrap/>
            <w:vAlign w:val="center"/>
          </w:tcPr>
          <w:p>
            <w:pPr>
              <w:shd w:val="clear"/>
              <w:rPr>
                <w:rFonts w:ascii="Times New Roman" w:cs="Times New Roman"/>
                <w:color w:val="auto"/>
              </w:rPr>
            </w:pPr>
          </w:p>
        </w:tc>
        <w:tc>
          <w:tcPr>
            <w:tcW w:w="4621"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签定审查合同，但合同中未载明双方的职责、权利、义务、审查内容、审查时限、审查费用等主要内容或合同主要内容缺失的。</w:t>
            </w:r>
          </w:p>
        </w:tc>
        <w:tc>
          <w:tcPr>
            <w:tcW w:w="3552"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8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扣1分/次</w:t>
            </w:r>
          </w:p>
        </w:tc>
        <w:tc>
          <w:tcPr>
            <w:tcW w:w="1043" w:type="dxa"/>
            <w:vMerge w:val="continue"/>
            <w:tcBorders>
              <w:top w:val="single" w:color="auto" w:sz="4" w:space="0"/>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3"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3.4</w:t>
            </w:r>
          </w:p>
        </w:tc>
        <w:tc>
          <w:tcPr>
            <w:tcW w:w="1366" w:type="dxa"/>
            <w:vMerge w:val="continue"/>
            <w:tcBorders>
              <w:left w:val="nil"/>
              <w:right w:val="single" w:color="auto" w:sz="4" w:space="0"/>
            </w:tcBorders>
            <w:noWrap/>
            <w:vAlign w:val="center"/>
          </w:tcPr>
          <w:p>
            <w:pPr>
              <w:shd w:val="clear"/>
              <w:rPr>
                <w:rFonts w:ascii="Times New Roman" w:cs="Times New Roman"/>
                <w:color w:val="auto"/>
              </w:rPr>
            </w:pPr>
          </w:p>
        </w:tc>
        <w:tc>
          <w:tcPr>
            <w:tcW w:w="4621"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审查收费明显高于或低于行业平均水平或违反有关行业自律要求，存在乱收费、扰乱审查市场行为的。</w:t>
            </w:r>
          </w:p>
        </w:tc>
        <w:tc>
          <w:tcPr>
            <w:tcW w:w="3552"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扣5分/次</w:t>
            </w:r>
          </w:p>
        </w:tc>
        <w:tc>
          <w:tcPr>
            <w:tcW w:w="1043" w:type="dxa"/>
            <w:vMerge w:val="continue"/>
            <w:tcBorders>
              <w:top w:val="single" w:color="auto" w:sz="4" w:space="0"/>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3"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3.5</w:t>
            </w:r>
          </w:p>
        </w:tc>
        <w:tc>
          <w:tcPr>
            <w:tcW w:w="1366" w:type="dxa"/>
            <w:vMerge w:val="continue"/>
            <w:tcBorders>
              <w:left w:val="nil"/>
              <w:right w:val="single" w:color="auto" w:sz="4" w:space="0"/>
            </w:tcBorders>
            <w:noWrap/>
            <w:vAlign w:val="center"/>
          </w:tcPr>
          <w:p>
            <w:pPr>
              <w:shd w:val="clear"/>
              <w:rPr>
                <w:rFonts w:ascii="Times New Roman" w:cs="Times New Roman"/>
                <w:color w:val="auto"/>
              </w:rPr>
            </w:pPr>
          </w:p>
        </w:tc>
        <w:tc>
          <w:tcPr>
            <w:tcW w:w="4621"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未按规定时限完成施工图审查工作，或审查效率低下、故意刁难、拖延的。</w:t>
            </w:r>
          </w:p>
        </w:tc>
        <w:tc>
          <w:tcPr>
            <w:tcW w:w="3552"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扣3分/次</w:t>
            </w:r>
          </w:p>
        </w:tc>
        <w:tc>
          <w:tcPr>
            <w:tcW w:w="1043" w:type="dxa"/>
            <w:vMerge w:val="continue"/>
            <w:tcBorders>
              <w:top w:val="single" w:color="auto" w:sz="4" w:space="0"/>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3"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hint="default" w:ascii="Times New Roman" w:eastAsia="仿宋_GB2312" w:cs="Times New Roman"/>
                <w:color w:val="auto"/>
                <w:kern w:val="0"/>
                <w:sz w:val="24"/>
                <w:szCs w:val="24"/>
                <w:lang w:val="en-US" w:eastAsia="zh-CN"/>
              </w:rPr>
            </w:pPr>
            <w:r>
              <w:rPr>
                <w:rFonts w:hint="eastAsia" w:ascii="Times New Roman" w:eastAsia="仿宋_GB2312" w:cs="Times New Roman"/>
                <w:color w:val="auto"/>
                <w:kern w:val="0"/>
                <w:sz w:val="24"/>
                <w:szCs w:val="24"/>
                <w:lang w:val="en-US" w:eastAsia="zh-CN"/>
              </w:rPr>
              <w:t>3.6</w:t>
            </w:r>
          </w:p>
        </w:tc>
        <w:tc>
          <w:tcPr>
            <w:tcW w:w="1366" w:type="dxa"/>
            <w:vMerge w:val="continue"/>
            <w:tcBorders>
              <w:left w:val="nil"/>
              <w:bottom w:val="single" w:color="auto" w:sz="4" w:space="0"/>
              <w:right w:val="single" w:color="auto" w:sz="4" w:space="0"/>
            </w:tcBorders>
            <w:noWrap/>
            <w:vAlign w:val="center"/>
          </w:tcPr>
          <w:p>
            <w:pPr>
              <w:shd w:val="clear"/>
              <w:rPr>
                <w:rFonts w:ascii="Times New Roman" w:cs="Times New Roman"/>
                <w:color w:val="auto"/>
              </w:rPr>
            </w:pPr>
          </w:p>
        </w:tc>
        <w:tc>
          <w:tcPr>
            <w:tcW w:w="4621"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left"/>
              <w:rPr>
                <w:rFonts w:ascii="Times New Roman" w:eastAsia="仿宋_GB2312" w:cs="Times New Roman"/>
                <w:color w:val="auto"/>
                <w:kern w:val="0"/>
                <w:sz w:val="24"/>
                <w:szCs w:val="24"/>
              </w:rPr>
            </w:pPr>
            <w:r>
              <w:rPr>
                <w:rFonts w:hint="eastAsia" w:ascii="Times New Roman" w:eastAsia="仿宋_GB2312" w:cs="Times New Roman"/>
                <w:color w:val="auto"/>
                <w:kern w:val="0"/>
                <w:sz w:val="24"/>
                <w:szCs w:val="24"/>
              </w:rPr>
              <w:t>相互串通投标或者与招标人串通投标的，以向招标人或者评标委员会成员行贿的手段谋取中标的。</w:t>
            </w:r>
          </w:p>
        </w:tc>
        <w:tc>
          <w:tcPr>
            <w:tcW w:w="3552"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hint="eastAsia" w:ascii="Times New Roman" w:eastAsia="仿宋_GB2312" w:cs="Times New Roman"/>
                <w:color w:val="auto"/>
                <w:kern w:val="0"/>
                <w:sz w:val="24"/>
                <w:szCs w:val="24"/>
              </w:rPr>
              <w:t>扣 5 分/次</w:t>
            </w:r>
          </w:p>
        </w:tc>
        <w:tc>
          <w:tcPr>
            <w:tcW w:w="1043" w:type="dxa"/>
            <w:tcBorders>
              <w:top w:val="single" w:color="auto" w:sz="4" w:space="0"/>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8"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4.1</w:t>
            </w:r>
          </w:p>
        </w:tc>
        <w:tc>
          <w:tcPr>
            <w:tcW w:w="1366" w:type="dxa"/>
            <w:vMerge w:val="restart"/>
            <w:tcBorders>
              <w:top w:val="nil"/>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4.审查质量类不良行为信息</w:t>
            </w:r>
          </w:p>
        </w:tc>
        <w:tc>
          <w:tcPr>
            <w:tcW w:w="4621"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4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未核查勘察设计单位是否具备相应资质条件，未核查项目负责人等主要勘察设计人员是否具备相应资格，未核查勘察设计单位出图章、注册建筑师、勘察设计注册工程师等勘察设计人员执业章及签字情况的。</w:t>
            </w:r>
          </w:p>
        </w:tc>
        <w:tc>
          <w:tcPr>
            <w:tcW w:w="3552"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rPr>
                <w:rFonts w:ascii="Times New Roman" w:eastAsia="仿宋_GB2312" w:cs="Times New Roman"/>
                <w:color w:val="auto"/>
                <w:kern w:val="0"/>
                <w:sz w:val="24"/>
                <w:szCs w:val="24"/>
              </w:rPr>
            </w:pPr>
            <w:r>
              <w:rPr>
                <w:rFonts w:hint="eastAsia" w:ascii="Times New Roman" w:eastAsia="仿宋_GB2312" w:cs="Times New Roman"/>
                <w:color w:val="auto"/>
                <w:kern w:val="0"/>
                <w:sz w:val="24"/>
                <w:szCs w:val="24"/>
                <w:lang w:val="en-US" w:eastAsia="zh-CN"/>
              </w:rPr>
              <w:t>1</w:t>
            </w:r>
            <w:r>
              <w:rPr>
                <w:rFonts w:ascii="Times New Roman" w:eastAsia="仿宋_GB2312" w:cs="Times New Roman"/>
                <w:color w:val="auto"/>
                <w:kern w:val="0"/>
                <w:sz w:val="24"/>
                <w:szCs w:val="24"/>
              </w:rPr>
              <w:t>分；虽有核查上述三项内容但审查机构没有记录可供查证的，扣</w:t>
            </w:r>
            <w:r>
              <w:rPr>
                <w:rFonts w:hint="eastAsia" w:ascii="Times New Roman" w:eastAsia="仿宋_GB2312" w:cs="Times New Roman"/>
                <w:color w:val="auto"/>
                <w:kern w:val="0"/>
                <w:sz w:val="24"/>
                <w:szCs w:val="24"/>
                <w:lang w:val="en-US" w:eastAsia="zh-CN"/>
              </w:rPr>
              <w:t>1</w:t>
            </w:r>
            <w:r>
              <w:rPr>
                <w:rFonts w:ascii="Times New Roman" w:eastAsia="仿宋_GB2312" w:cs="Times New Roman"/>
                <w:color w:val="auto"/>
                <w:kern w:val="0"/>
                <w:sz w:val="24"/>
                <w:szCs w:val="24"/>
              </w:rPr>
              <w:t>分/次</w:t>
            </w:r>
          </w:p>
        </w:tc>
        <w:tc>
          <w:tcPr>
            <w:tcW w:w="1043" w:type="dxa"/>
            <w:vMerge w:val="restart"/>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rPr>
                <w:rFonts w:ascii="Times New Roman" w:eastAsia="仿宋_GB2312" w:cs="Times New Roman"/>
                <w:color w:val="auto"/>
                <w:kern w:val="0"/>
                <w:sz w:val="24"/>
                <w:szCs w:val="24"/>
              </w:rPr>
            </w:pPr>
          </w:p>
        </w:tc>
        <w:tc>
          <w:tcPr>
            <w:tcW w:w="1074" w:type="dxa"/>
            <w:vMerge w:val="restart"/>
            <w:tcBorders>
              <w:top w:val="nil"/>
              <w:left w:val="nil"/>
              <w:bottom w:val="single" w:color="auto" w:sz="4" w:space="0"/>
              <w:right w:val="single" w:color="auto" w:sz="4" w:space="0"/>
            </w:tcBorders>
            <w:noWrap/>
            <w:vAlign w:val="center"/>
          </w:tcPr>
          <w:p>
            <w:pPr>
              <w:shd w:val="clea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自评价生效之日起12个月</w:t>
            </w:r>
          </w:p>
        </w:tc>
        <w:tc>
          <w:tcPr>
            <w:tcW w:w="1074" w:type="dxa"/>
            <w:vMerge w:val="restart"/>
            <w:tcBorders>
              <w:top w:val="nil"/>
              <w:left w:val="nil"/>
              <w:bottom w:val="single" w:color="auto" w:sz="4" w:space="0"/>
              <w:right w:val="single" w:color="auto" w:sz="4" w:space="0"/>
            </w:tcBorders>
            <w:noWrap/>
            <w:vAlign w:val="center"/>
          </w:tcPr>
          <w:p>
            <w:pPr>
              <w:shd w:val="clea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住房城乡建设主管部门</w:t>
            </w:r>
          </w:p>
        </w:tc>
        <w:tc>
          <w:tcPr>
            <w:tcW w:w="1074" w:type="dxa"/>
            <w:vMerge w:val="restart"/>
            <w:tcBorders>
              <w:top w:val="nil"/>
              <w:left w:val="nil"/>
              <w:bottom w:val="single" w:color="auto" w:sz="4" w:space="0"/>
              <w:right w:val="single" w:color="auto" w:sz="4" w:space="0"/>
            </w:tcBorders>
            <w:noWrap/>
            <w:vAlign w:val="center"/>
          </w:tcPr>
          <w:p>
            <w:pPr>
              <w:shd w:val="clear"/>
              <w:adjustRightInd w:val="0"/>
              <w:snapToGrid w:val="0"/>
              <w:spacing w:line="340" w:lineRule="exact"/>
              <w:jc w:val="center"/>
              <w:rPr>
                <w:rFonts w:ascii="Times New Roman" w:eastAsia="仿宋_GB2312" w:cs="Times New Roman"/>
                <w:color w:val="auto"/>
                <w:kern w:val="0"/>
                <w:sz w:val="22"/>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8"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hint="eastAsia" w:ascii="Times New Roman" w:eastAsia="仿宋_GB2312" w:cs="Times New Roman"/>
                <w:color w:val="auto"/>
                <w:kern w:val="0"/>
                <w:sz w:val="24"/>
                <w:szCs w:val="24"/>
                <w:lang w:eastAsia="zh-CN"/>
              </w:rPr>
            </w:pPr>
            <w:r>
              <w:rPr>
                <w:rFonts w:ascii="Times New Roman" w:eastAsia="仿宋_GB2312" w:cs="Times New Roman"/>
                <w:color w:val="auto"/>
                <w:kern w:val="0"/>
                <w:sz w:val="24"/>
                <w:szCs w:val="24"/>
              </w:rPr>
              <w:t>4.</w:t>
            </w:r>
            <w:r>
              <w:rPr>
                <w:rFonts w:hint="eastAsia" w:ascii="Times New Roman" w:eastAsia="仿宋_GB2312" w:cs="Times New Roman"/>
                <w:color w:val="auto"/>
                <w:kern w:val="0"/>
                <w:sz w:val="24"/>
                <w:szCs w:val="24"/>
                <w:lang w:val="en-US" w:eastAsia="zh-CN"/>
              </w:rPr>
              <w:t>2</w:t>
            </w:r>
          </w:p>
        </w:tc>
        <w:tc>
          <w:tcPr>
            <w:tcW w:w="13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4621"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4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未按照建设工程规划许可等政府有关批准文件进行审查并出具审查合格书的。</w:t>
            </w:r>
          </w:p>
        </w:tc>
        <w:tc>
          <w:tcPr>
            <w:tcW w:w="3552"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60" w:lineRule="exact"/>
              <w:jc w:val="center"/>
              <w:rPr>
                <w:rFonts w:ascii="Times New Roman" w:eastAsia="黑体" w:cs="Times New Roman"/>
                <w:color w:val="auto"/>
                <w:kern w:val="0"/>
                <w:sz w:val="24"/>
                <w:szCs w:val="24"/>
              </w:rPr>
            </w:pPr>
            <w:r>
              <w:rPr>
                <w:rFonts w:ascii="Times New Roman" w:eastAsia="仿宋_GB2312" w:cs="Times New Roman"/>
                <w:color w:val="auto"/>
                <w:kern w:val="0"/>
                <w:sz w:val="24"/>
                <w:szCs w:val="24"/>
              </w:rPr>
              <w:t>扣</w:t>
            </w:r>
            <w:r>
              <w:rPr>
                <w:rFonts w:hint="eastAsia" w:ascii="Times New Roman" w:eastAsia="仿宋_GB2312" w:cs="Times New Roman"/>
                <w:color w:val="auto"/>
                <w:kern w:val="0"/>
                <w:sz w:val="24"/>
                <w:szCs w:val="24"/>
                <w:lang w:val="en-US" w:eastAsia="zh-CN"/>
              </w:rPr>
              <w:t>2</w:t>
            </w:r>
            <w:r>
              <w:rPr>
                <w:rFonts w:ascii="Times New Roman" w:eastAsia="仿宋_GB2312" w:cs="Times New Roman"/>
                <w:color w:val="auto"/>
                <w:kern w:val="0"/>
                <w:sz w:val="24"/>
                <w:szCs w:val="24"/>
              </w:rPr>
              <w:t>分/次</w:t>
            </w:r>
          </w:p>
        </w:tc>
        <w:tc>
          <w:tcPr>
            <w:tcW w:w="1043" w:type="dxa"/>
            <w:vMerge w:val="continue"/>
            <w:tcBorders>
              <w:top w:val="single" w:color="auto" w:sz="4" w:space="0"/>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8"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hint="eastAsia" w:ascii="Times New Roman" w:eastAsia="仿宋_GB2312" w:cs="Times New Roman"/>
                <w:color w:val="auto"/>
                <w:kern w:val="0"/>
                <w:sz w:val="24"/>
                <w:szCs w:val="24"/>
                <w:lang w:eastAsia="zh-CN"/>
              </w:rPr>
            </w:pPr>
            <w:r>
              <w:rPr>
                <w:rFonts w:ascii="Times New Roman" w:eastAsia="仿宋_GB2312" w:cs="Times New Roman"/>
                <w:color w:val="auto"/>
                <w:kern w:val="0"/>
                <w:sz w:val="24"/>
                <w:szCs w:val="24"/>
              </w:rPr>
              <w:t>4.</w:t>
            </w:r>
            <w:r>
              <w:rPr>
                <w:rFonts w:hint="eastAsia" w:ascii="Times New Roman" w:eastAsia="仿宋_GB2312" w:cs="Times New Roman"/>
                <w:color w:val="auto"/>
                <w:kern w:val="0"/>
                <w:sz w:val="24"/>
                <w:szCs w:val="24"/>
                <w:lang w:val="en-US" w:eastAsia="zh-CN"/>
              </w:rPr>
              <w:t>3</w:t>
            </w:r>
          </w:p>
        </w:tc>
        <w:tc>
          <w:tcPr>
            <w:tcW w:w="13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4621"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4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未按规定对建筑节能、绿色建筑、抗震设防进行审查，或审查内容有错审、漏审的。</w:t>
            </w:r>
          </w:p>
        </w:tc>
        <w:tc>
          <w:tcPr>
            <w:tcW w:w="3552"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扣</w:t>
            </w:r>
            <w:r>
              <w:rPr>
                <w:rFonts w:hint="eastAsia" w:ascii="Times New Roman" w:eastAsia="仿宋_GB2312" w:cs="Times New Roman"/>
                <w:color w:val="auto"/>
                <w:kern w:val="0"/>
                <w:sz w:val="24"/>
                <w:szCs w:val="24"/>
                <w:lang w:val="en-US" w:eastAsia="zh-CN"/>
              </w:rPr>
              <w:t>2</w:t>
            </w:r>
            <w:r>
              <w:rPr>
                <w:rFonts w:ascii="Times New Roman" w:eastAsia="仿宋_GB2312" w:cs="Times New Roman"/>
                <w:color w:val="auto"/>
                <w:kern w:val="0"/>
                <w:sz w:val="24"/>
                <w:szCs w:val="24"/>
              </w:rPr>
              <w:t>分/次</w:t>
            </w:r>
          </w:p>
        </w:tc>
        <w:tc>
          <w:tcPr>
            <w:tcW w:w="1043" w:type="dxa"/>
            <w:vMerge w:val="continue"/>
            <w:tcBorders>
              <w:top w:val="single" w:color="auto" w:sz="4" w:space="0"/>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8"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hint="eastAsia" w:ascii="Times New Roman" w:eastAsia="仿宋_GB2312" w:cs="Times New Roman"/>
                <w:color w:val="auto"/>
                <w:kern w:val="0"/>
                <w:sz w:val="24"/>
                <w:szCs w:val="24"/>
                <w:lang w:eastAsia="zh-CN"/>
              </w:rPr>
            </w:pPr>
            <w:r>
              <w:rPr>
                <w:rFonts w:ascii="Times New Roman" w:eastAsia="仿宋_GB2312" w:cs="Times New Roman"/>
                <w:color w:val="auto"/>
                <w:kern w:val="0"/>
                <w:sz w:val="24"/>
                <w:szCs w:val="24"/>
              </w:rPr>
              <w:t>4.</w:t>
            </w:r>
            <w:r>
              <w:rPr>
                <w:rFonts w:hint="eastAsia" w:ascii="Times New Roman" w:eastAsia="仿宋_GB2312" w:cs="Times New Roman"/>
                <w:color w:val="auto"/>
                <w:kern w:val="0"/>
                <w:sz w:val="24"/>
                <w:szCs w:val="24"/>
                <w:lang w:val="en-US" w:eastAsia="zh-CN"/>
              </w:rPr>
              <w:t>4</w:t>
            </w:r>
          </w:p>
        </w:tc>
        <w:tc>
          <w:tcPr>
            <w:tcW w:w="13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4621"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4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已出具审查合格书的施工图，仍有违反法律、法规和工程建设强制性标准的</w:t>
            </w:r>
          </w:p>
        </w:tc>
        <w:tc>
          <w:tcPr>
            <w:tcW w:w="3552"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60" w:lineRule="exact"/>
              <w:jc w:val="center"/>
              <w:rPr>
                <w:rFonts w:hint="eastAsia" w:ascii="Times New Roman" w:eastAsia="方正兰亭黑_GBK" w:cs="Times New Roman"/>
                <w:color w:val="auto"/>
                <w:kern w:val="0"/>
                <w:sz w:val="24"/>
                <w:szCs w:val="24"/>
                <w:lang w:eastAsia="zh-CN"/>
              </w:rPr>
            </w:pPr>
            <w:r>
              <w:rPr>
                <w:rFonts w:hint="eastAsia"/>
              </w:rPr>
              <w:t>1.违反法律、法规和工程建设强制性标准的，或发出的告知书中存在强条判定错误的，</w:t>
            </w:r>
            <w:r>
              <w:rPr>
                <w:rFonts w:hint="eastAsia"/>
                <w:lang w:val="en-US" w:eastAsia="zh-CN"/>
              </w:rPr>
              <w:t>1</w:t>
            </w:r>
            <w:r>
              <w:rPr>
                <w:rFonts w:hint="eastAsia"/>
              </w:rPr>
              <w:t xml:space="preserve"> 分/条。2.违反“严禁、必须、禁止、不得、应(消防技术标准)、不应(消防技术标准)”等条款的，0.</w:t>
            </w:r>
            <w:r>
              <w:rPr>
                <w:rFonts w:hint="eastAsia"/>
                <w:lang w:val="en-US" w:eastAsia="zh-CN"/>
              </w:rPr>
              <w:t>5</w:t>
            </w:r>
            <w:r>
              <w:rPr>
                <w:rFonts w:hint="eastAsia"/>
              </w:rPr>
              <w:t>分/条</w:t>
            </w:r>
            <w:r>
              <w:rPr>
                <w:rFonts w:hint="eastAsia"/>
                <w:lang w:eastAsia="zh-CN"/>
              </w:rPr>
              <w:t>。</w:t>
            </w:r>
          </w:p>
        </w:tc>
        <w:tc>
          <w:tcPr>
            <w:tcW w:w="1043" w:type="dxa"/>
            <w:vMerge w:val="continue"/>
            <w:tcBorders>
              <w:top w:val="single" w:color="auto" w:sz="4" w:space="0"/>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8"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hint="eastAsia" w:ascii="Times New Roman" w:eastAsia="仿宋_GB2312" w:cs="Times New Roman"/>
                <w:color w:val="auto"/>
                <w:kern w:val="0"/>
                <w:sz w:val="24"/>
                <w:szCs w:val="24"/>
                <w:lang w:eastAsia="zh-CN"/>
              </w:rPr>
            </w:pPr>
            <w:r>
              <w:rPr>
                <w:rFonts w:ascii="Times New Roman" w:eastAsia="仿宋_GB2312" w:cs="Times New Roman"/>
                <w:color w:val="auto"/>
                <w:kern w:val="0"/>
                <w:sz w:val="24"/>
                <w:szCs w:val="24"/>
              </w:rPr>
              <w:t>4.</w:t>
            </w:r>
            <w:r>
              <w:rPr>
                <w:rFonts w:hint="eastAsia" w:ascii="Times New Roman" w:eastAsia="仿宋_GB2312" w:cs="Times New Roman"/>
                <w:color w:val="auto"/>
                <w:kern w:val="0"/>
                <w:sz w:val="24"/>
                <w:szCs w:val="24"/>
                <w:lang w:val="en-US" w:eastAsia="zh-CN"/>
              </w:rPr>
              <w:t>5</w:t>
            </w:r>
          </w:p>
        </w:tc>
        <w:tc>
          <w:tcPr>
            <w:tcW w:w="13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4621"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4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对在建工程和已竣工建设项目进行施工图“补审”（根据行政处罚整改要求或因处理涉及公共利益、公众安全的历史遗留问题，需要进行施工图复核的情形除外）</w:t>
            </w:r>
          </w:p>
        </w:tc>
        <w:tc>
          <w:tcPr>
            <w:tcW w:w="3552"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扣</w:t>
            </w:r>
            <w:r>
              <w:rPr>
                <w:rFonts w:hint="eastAsia" w:ascii="Times New Roman" w:eastAsia="仿宋_GB2312" w:cs="Times New Roman"/>
                <w:color w:val="auto"/>
                <w:kern w:val="0"/>
                <w:sz w:val="24"/>
                <w:szCs w:val="24"/>
                <w:lang w:val="en-US" w:eastAsia="zh-CN"/>
              </w:rPr>
              <w:t>2</w:t>
            </w:r>
            <w:r>
              <w:rPr>
                <w:rFonts w:ascii="Times New Roman" w:eastAsia="仿宋_GB2312" w:cs="Times New Roman"/>
                <w:color w:val="auto"/>
                <w:kern w:val="0"/>
                <w:sz w:val="24"/>
                <w:szCs w:val="24"/>
              </w:rPr>
              <w:t>分/次</w:t>
            </w:r>
          </w:p>
        </w:tc>
        <w:tc>
          <w:tcPr>
            <w:tcW w:w="1043" w:type="dxa"/>
            <w:vMerge w:val="continue"/>
            <w:tcBorders>
              <w:top w:val="single" w:color="auto" w:sz="4" w:space="0"/>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0"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5.1</w:t>
            </w:r>
          </w:p>
        </w:tc>
        <w:tc>
          <w:tcPr>
            <w:tcW w:w="1366" w:type="dxa"/>
            <w:vMerge w:val="restart"/>
            <w:tcBorders>
              <w:top w:val="nil"/>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5.内部管理类不良行为信息</w:t>
            </w:r>
          </w:p>
        </w:tc>
        <w:tc>
          <w:tcPr>
            <w:tcW w:w="4621"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4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未通过四川政务服务平台在线打印审查合格书的</w:t>
            </w:r>
          </w:p>
        </w:tc>
        <w:tc>
          <w:tcPr>
            <w:tcW w:w="3552"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扣2分/次</w:t>
            </w:r>
          </w:p>
        </w:tc>
        <w:tc>
          <w:tcPr>
            <w:tcW w:w="1043" w:type="dxa"/>
            <w:vMerge w:val="continue"/>
            <w:tcBorders>
              <w:top w:val="single" w:color="auto" w:sz="4" w:space="0"/>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restart"/>
            <w:tcBorders>
              <w:top w:val="nil"/>
              <w:left w:val="nil"/>
              <w:bottom w:val="single" w:color="auto" w:sz="4" w:space="0"/>
              <w:right w:val="single" w:color="auto" w:sz="4" w:space="0"/>
            </w:tcBorders>
            <w:noWrap/>
            <w:vAlign w:val="center"/>
          </w:tcPr>
          <w:p>
            <w:pPr>
              <w:shd w:val="clear"/>
              <w:adjustRightInd w:val="0"/>
              <w:snapToGrid w:val="0"/>
              <w:spacing w:line="34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2"/>
                <w:szCs w:val="22"/>
              </w:rPr>
              <w:t>自评价生效之日起12个月</w:t>
            </w:r>
          </w:p>
        </w:tc>
        <w:tc>
          <w:tcPr>
            <w:tcW w:w="1074" w:type="dxa"/>
            <w:vMerge w:val="restart"/>
            <w:tcBorders>
              <w:top w:val="nil"/>
              <w:left w:val="nil"/>
              <w:bottom w:val="single" w:color="auto" w:sz="4" w:space="0"/>
              <w:right w:val="single" w:color="auto" w:sz="4" w:space="0"/>
            </w:tcBorders>
            <w:noWrap/>
            <w:vAlign w:val="center"/>
          </w:tcPr>
          <w:p>
            <w:pPr>
              <w:shd w:val="clear"/>
              <w:adjustRightInd w:val="0"/>
              <w:snapToGrid w:val="0"/>
              <w:spacing w:line="34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2"/>
                <w:szCs w:val="22"/>
              </w:rPr>
              <w:t>住房城乡建设主管部门</w:t>
            </w:r>
          </w:p>
        </w:tc>
        <w:tc>
          <w:tcPr>
            <w:tcW w:w="1074" w:type="dxa"/>
            <w:vMerge w:val="restart"/>
            <w:tcBorders>
              <w:top w:val="nil"/>
              <w:left w:val="nil"/>
              <w:bottom w:val="single" w:color="auto" w:sz="4" w:space="0"/>
              <w:right w:val="single" w:color="auto" w:sz="4" w:space="0"/>
            </w:tcBorders>
            <w:noWrap/>
            <w:vAlign w:val="center"/>
          </w:tcPr>
          <w:p>
            <w:pPr>
              <w:shd w:val="clear"/>
              <w:adjustRightInd w:val="0"/>
              <w:snapToGrid w:val="0"/>
              <w:spacing w:line="340" w:lineRule="exact"/>
              <w:jc w:val="center"/>
              <w:rPr>
                <w:rFonts w:ascii="Times New Roman" w:eastAsia="仿宋_GB2312" w:cs="Times New Roman"/>
                <w:color w:val="auto"/>
                <w:kern w:val="0"/>
                <w:sz w:val="22"/>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3"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5.2</w:t>
            </w:r>
          </w:p>
        </w:tc>
        <w:tc>
          <w:tcPr>
            <w:tcW w:w="13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4621"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4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未按规定出具审查合格书、意见书、报告书等法定要件的</w:t>
            </w:r>
          </w:p>
        </w:tc>
        <w:tc>
          <w:tcPr>
            <w:tcW w:w="3552"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扣2分/次</w:t>
            </w:r>
          </w:p>
        </w:tc>
        <w:tc>
          <w:tcPr>
            <w:tcW w:w="1043" w:type="dxa"/>
            <w:vMerge w:val="continue"/>
            <w:tcBorders>
              <w:top w:val="single" w:color="auto" w:sz="4" w:space="0"/>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40"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5.3</w:t>
            </w:r>
          </w:p>
        </w:tc>
        <w:tc>
          <w:tcPr>
            <w:tcW w:w="13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4621"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0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未及时、准确、完整地通过系统报送审查中发现的建设单位、勘察设计企业、注册执业人员的违法、违规行为，以及施工图存在的严重安全隐患和违反工程建设强制性标准等问题，或审查机构存在瞒报、漏报等违法违规行为的</w:t>
            </w:r>
          </w:p>
        </w:tc>
        <w:tc>
          <w:tcPr>
            <w:tcW w:w="3552"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扣2分/次</w:t>
            </w:r>
          </w:p>
        </w:tc>
        <w:tc>
          <w:tcPr>
            <w:tcW w:w="1043" w:type="dxa"/>
            <w:vMerge w:val="continue"/>
            <w:tcBorders>
              <w:top w:val="single" w:color="auto" w:sz="4" w:space="0"/>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04"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5.4</w:t>
            </w:r>
          </w:p>
        </w:tc>
        <w:tc>
          <w:tcPr>
            <w:tcW w:w="13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4621"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4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基本信息变更后30日内未完成信息变更，或者报送信息严重不实、不报送的</w:t>
            </w:r>
          </w:p>
        </w:tc>
        <w:tc>
          <w:tcPr>
            <w:tcW w:w="3552"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扣2分/次</w:t>
            </w:r>
          </w:p>
        </w:tc>
        <w:tc>
          <w:tcPr>
            <w:tcW w:w="1043" w:type="dxa"/>
            <w:vMerge w:val="continue"/>
            <w:tcBorders>
              <w:top w:val="single" w:color="auto" w:sz="4" w:space="0"/>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0"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5.5</w:t>
            </w:r>
          </w:p>
        </w:tc>
        <w:tc>
          <w:tcPr>
            <w:tcW w:w="13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4621"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4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在纸质施工图蓝图上加盖施工图审查章的</w:t>
            </w:r>
          </w:p>
        </w:tc>
        <w:tc>
          <w:tcPr>
            <w:tcW w:w="3552"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扣4分/次</w:t>
            </w:r>
          </w:p>
        </w:tc>
        <w:tc>
          <w:tcPr>
            <w:tcW w:w="1043" w:type="dxa"/>
            <w:vMerge w:val="continue"/>
            <w:tcBorders>
              <w:top w:val="single" w:color="auto" w:sz="4" w:space="0"/>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6"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5.6</w:t>
            </w:r>
          </w:p>
        </w:tc>
        <w:tc>
          <w:tcPr>
            <w:tcW w:w="13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4621"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4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未建立质量保证体系，或者质量保证体系形同虚设，主要管理制度落实不到位的</w:t>
            </w:r>
          </w:p>
        </w:tc>
        <w:tc>
          <w:tcPr>
            <w:tcW w:w="3552"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扣3分/次</w:t>
            </w:r>
          </w:p>
        </w:tc>
        <w:tc>
          <w:tcPr>
            <w:tcW w:w="1043" w:type="dxa"/>
            <w:vMerge w:val="restart"/>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8"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5.7</w:t>
            </w:r>
          </w:p>
        </w:tc>
        <w:tc>
          <w:tcPr>
            <w:tcW w:w="13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4621"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4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未设立档案存放场所或档案没有专人管理的（电子档案也可）。</w:t>
            </w:r>
          </w:p>
        </w:tc>
        <w:tc>
          <w:tcPr>
            <w:tcW w:w="3552"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扣2分/次</w:t>
            </w:r>
          </w:p>
        </w:tc>
        <w:tc>
          <w:tcPr>
            <w:tcW w:w="1043" w:type="dxa"/>
            <w:vMerge w:val="continue"/>
            <w:tcBorders>
              <w:top w:val="single" w:color="auto" w:sz="4" w:space="0"/>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3"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hint="eastAsia" w:ascii="Times New Roman" w:eastAsia="仿宋_GB2312" w:cs="Times New Roman"/>
                <w:color w:val="auto"/>
                <w:kern w:val="0"/>
                <w:sz w:val="24"/>
                <w:szCs w:val="24"/>
                <w:lang w:eastAsia="zh-CN"/>
              </w:rPr>
            </w:pPr>
            <w:r>
              <w:rPr>
                <w:rFonts w:ascii="Times New Roman" w:eastAsia="仿宋_GB2312" w:cs="Times New Roman"/>
                <w:color w:val="auto"/>
                <w:kern w:val="0"/>
                <w:sz w:val="24"/>
                <w:szCs w:val="24"/>
              </w:rPr>
              <w:t>5.</w:t>
            </w:r>
            <w:r>
              <w:rPr>
                <w:rFonts w:hint="eastAsia" w:ascii="Times New Roman" w:eastAsia="仿宋_GB2312" w:cs="Times New Roman"/>
                <w:color w:val="auto"/>
                <w:kern w:val="0"/>
                <w:sz w:val="24"/>
                <w:szCs w:val="24"/>
                <w:lang w:val="en-US" w:eastAsia="zh-CN"/>
              </w:rPr>
              <w:t>8</w:t>
            </w:r>
          </w:p>
        </w:tc>
        <w:tc>
          <w:tcPr>
            <w:tcW w:w="13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4621"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4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未在施工图纸、审查合格书、意见书、报告书等法定要件上加盖审查机构公章(专用章)，或者法定代表人、审查人未签章或签章不全的</w:t>
            </w:r>
          </w:p>
        </w:tc>
        <w:tc>
          <w:tcPr>
            <w:tcW w:w="3552"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扣1分/次</w:t>
            </w:r>
          </w:p>
        </w:tc>
        <w:tc>
          <w:tcPr>
            <w:tcW w:w="1043" w:type="dxa"/>
            <w:vMerge w:val="continue"/>
            <w:tcBorders>
              <w:top w:val="single" w:color="auto" w:sz="4" w:space="0"/>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restart"/>
            <w:tcBorders>
              <w:top w:val="nil"/>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2"/>
                <w:szCs w:val="22"/>
              </w:rPr>
              <w:t>自评价生效之日起3个月</w:t>
            </w:r>
          </w:p>
        </w:tc>
        <w:tc>
          <w:tcPr>
            <w:tcW w:w="1074" w:type="dxa"/>
            <w:vMerge w:val="restart"/>
            <w:tcBorders>
              <w:top w:val="nil"/>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p>
        </w:tc>
        <w:tc>
          <w:tcPr>
            <w:tcW w:w="1074" w:type="dxa"/>
            <w:vMerge w:val="restart"/>
            <w:tcBorders>
              <w:top w:val="nil"/>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8"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hint="eastAsia" w:ascii="Times New Roman" w:eastAsia="仿宋_GB2312" w:cs="Times New Roman"/>
                <w:color w:val="auto"/>
                <w:kern w:val="0"/>
                <w:sz w:val="24"/>
                <w:szCs w:val="24"/>
                <w:lang w:eastAsia="zh-CN"/>
              </w:rPr>
            </w:pPr>
            <w:r>
              <w:rPr>
                <w:rFonts w:ascii="Times New Roman" w:eastAsia="仿宋_GB2312" w:cs="Times New Roman"/>
                <w:color w:val="auto"/>
                <w:kern w:val="0"/>
                <w:sz w:val="24"/>
                <w:szCs w:val="24"/>
              </w:rPr>
              <w:t>5.</w:t>
            </w:r>
            <w:r>
              <w:rPr>
                <w:rFonts w:hint="eastAsia" w:ascii="Times New Roman" w:eastAsia="仿宋_GB2312" w:cs="Times New Roman"/>
                <w:color w:val="auto"/>
                <w:kern w:val="0"/>
                <w:sz w:val="24"/>
                <w:szCs w:val="24"/>
                <w:lang w:val="en-US" w:eastAsia="zh-CN"/>
              </w:rPr>
              <w:t>9</w:t>
            </w:r>
          </w:p>
        </w:tc>
        <w:tc>
          <w:tcPr>
            <w:tcW w:w="13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4621"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4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报审后无正当理由退件或退件频繁的</w:t>
            </w:r>
          </w:p>
        </w:tc>
        <w:tc>
          <w:tcPr>
            <w:tcW w:w="3552"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扣1分/次</w:t>
            </w:r>
          </w:p>
        </w:tc>
        <w:tc>
          <w:tcPr>
            <w:tcW w:w="1043" w:type="dxa"/>
            <w:vMerge w:val="continue"/>
            <w:tcBorders>
              <w:top w:val="single" w:color="auto" w:sz="4" w:space="0"/>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8"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hint="eastAsia" w:ascii="Times New Roman" w:eastAsia="仿宋_GB2312" w:cs="Times New Roman"/>
                <w:color w:val="auto"/>
                <w:kern w:val="0"/>
                <w:sz w:val="24"/>
                <w:szCs w:val="24"/>
                <w:lang w:eastAsia="zh-CN"/>
              </w:rPr>
            </w:pPr>
            <w:r>
              <w:rPr>
                <w:rFonts w:ascii="Times New Roman" w:eastAsia="仿宋_GB2312" w:cs="Times New Roman"/>
                <w:color w:val="auto"/>
                <w:kern w:val="0"/>
                <w:sz w:val="24"/>
                <w:szCs w:val="24"/>
              </w:rPr>
              <w:t>5.1</w:t>
            </w:r>
            <w:r>
              <w:rPr>
                <w:rFonts w:hint="eastAsia" w:ascii="Times New Roman" w:eastAsia="仿宋_GB2312" w:cs="Times New Roman"/>
                <w:color w:val="auto"/>
                <w:kern w:val="0"/>
                <w:sz w:val="24"/>
                <w:szCs w:val="24"/>
                <w:lang w:val="en-US" w:eastAsia="zh-CN"/>
              </w:rPr>
              <w:t>0</w:t>
            </w:r>
          </w:p>
        </w:tc>
        <w:tc>
          <w:tcPr>
            <w:tcW w:w="13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4621"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4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未配备有关施工图审查必备的工具书，或配备不到位不能满足</w:t>
            </w:r>
            <w:r>
              <w:rPr>
                <w:rFonts w:ascii="Times New Roman" w:eastAsia="仿宋_GB2312" w:cs="Times New Roman"/>
                <w:color w:val="auto"/>
                <w:spacing w:val="-22"/>
                <w:kern w:val="0"/>
                <w:sz w:val="24"/>
                <w:szCs w:val="24"/>
              </w:rPr>
              <w:t>施工图审查工作需要的</w:t>
            </w:r>
          </w:p>
        </w:tc>
        <w:tc>
          <w:tcPr>
            <w:tcW w:w="3552"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扣1分/次</w:t>
            </w:r>
          </w:p>
        </w:tc>
        <w:tc>
          <w:tcPr>
            <w:tcW w:w="1043" w:type="dxa"/>
            <w:vMerge w:val="continue"/>
            <w:tcBorders>
              <w:top w:val="single" w:color="auto" w:sz="4" w:space="0"/>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5"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hint="eastAsia" w:ascii="Times New Roman" w:eastAsia="仿宋_GB2312" w:cs="Times New Roman"/>
                <w:color w:val="auto"/>
                <w:kern w:val="0"/>
                <w:sz w:val="24"/>
                <w:szCs w:val="24"/>
                <w:lang w:eastAsia="zh-CN"/>
              </w:rPr>
            </w:pPr>
            <w:r>
              <w:rPr>
                <w:rFonts w:ascii="Times New Roman" w:eastAsia="仿宋_GB2312" w:cs="Times New Roman"/>
                <w:color w:val="auto"/>
                <w:kern w:val="0"/>
                <w:sz w:val="24"/>
                <w:szCs w:val="24"/>
              </w:rPr>
              <w:t>5.1</w:t>
            </w:r>
            <w:r>
              <w:rPr>
                <w:rFonts w:hint="eastAsia" w:ascii="Times New Roman" w:eastAsia="仿宋_GB2312" w:cs="Times New Roman"/>
                <w:color w:val="auto"/>
                <w:kern w:val="0"/>
                <w:sz w:val="24"/>
                <w:szCs w:val="24"/>
                <w:lang w:val="en-US" w:eastAsia="zh-CN"/>
              </w:rPr>
              <w:t>1</w:t>
            </w:r>
          </w:p>
        </w:tc>
        <w:tc>
          <w:tcPr>
            <w:tcW w:w="13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4621"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未建立项目负责人制度和审查复核制度的</w:t>
            </w:r>
          </w:p>
        </w:tc>
        <w:tc>
          <w:tcPr>
            <w:tcW w:w="3552"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扣1分/次</w:t>
            </w:r>
          </w:p>
        </w:tc>
        <w:tc>
          <w:tcPr>
            <w:tcW w:w="1043" w:type="dxa"/>
            <w:vMerge w:val="continue"/>
            <w:tcBorders>
              <w:top w:val="single" w:color="auto" w:sz="4" w:space="0"/>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8"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hint="eastAsia" w:ascii="Times New Roman" w:eastAsia="仿宋_GB2312" w:cs="Times New Roman"/>
                <w:color w:val="auto"/>
                <w:kern w:val="0"/>
                <w:sz w:val="24"/>
                <w:szCs w:val="24"/>
                <w:lang w:eastAsia="zh-CN"/>
              </w:rPr>
            </w:pPr>
            <w:r>
              <w:rPr>
                <w:rFonts w:ascii="Times New Roman" w:eastAsia="仿宋_GB2312" w:cs="Times New Roman"/>
                <w:color w:val="auto"/>
                <w:kern w:val="0"/>
                <w:sz w:val="24"/>
                <w:szCs w:val="24"/>
              </w:rPr>
              <w:t>5.1</w:t>
            </w:r>
            <w:r>
              <w:rPr>
                <w:rFonts w:hint="eastAsia" w:ascii="Times New Roman" w:eastAsia="仿宋_GB2312" w:cs="Times New Roman"/>
                <w:color w:val="auto"/>
                <w:kern w:val="0"/>
                <w:sz w:val="24"/>
                <w:szCs w:val="24"/>
                <w:lang w:val="en-US" w:eastAsia="zh-CN"/>
              </w:rPr>
              <w:t>2</w:t>
            </w:r>
          </w:p>
        </w:tc>
        <w:tc>
          <w:tcPr>
            <w:tcW w:w="13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4621"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4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审查人员未按照规定参加继续教育的</w:t>
            </w:r>
          </w:p>
        </w:tc>
        <w:tc>
          <w:tcPr>
            <w:tcW w:w="3552"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扣1分/人次</w:t>
            </w:r>
          </w:p>
        </w:tc>
        <w:tc>
          <w:tcPr>
            <w:tcW w:w="1043" w:type="dxa"/>
            <w:vMerge w:val="continue"/>
            <w:tcBorders>
              <w:top w:val="single" w:color="auto" w:sz="4" w:space="0"/>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8"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hint="eastAsia" w:ascii="Times New Roman" w:eastAsia="仿宋_GB2312" w:cs="Times New Roman"/>
                <w:color w:val="auto"/>
                <w:kern w:val="0"/>
                <w:sz w:val="24"/>
                <w:szCs w:val="24"/>
                <w:lang w:eastAsia="zh-CN"/>
              </w:rPr>
            </w:pPr>
            <w:r>
              <w:rPr>
                <w:rFonts w:ascii="Times New Roman" w:eastAsia="仿宋_GB2312" w:cs="Times New Roman"/>
                <w:color w:val="auto"/>
                <w:kern w:val="0"/>
                <w:sz w:val="24"/>
                <w:szCs w:val="24"/>
              </w:rPr>
              <w:t>5.1</w:t>
            </w:r>
            <w:r>
              <w:rPr>
                <w:rFonts w:hint="eastAsia" w:ascii="Times New Roman" w:eastAsia="仿宋_GB2312" w:cs="Times New Roman"/>
                <w:color w:val="auto"/>
                <w:kern w:val="0"/>
                <w:sz w:val="24"/>
                <w:szCs w:val="24"/>
                <w:lang w:val="en-US" w:eastAsia="zh-CN"/>
              </w:rPr>
              <w:t>3</w:t>
            </w:r>
          </w:p>
        </w:tc>
        <w:tc>
          <w:tcPr>
            <w:tcW w:w="13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4621"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0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施工图审查的受理手续、审查记录、勘察设计单位的回复意见、复审意见、审查合格书、意见书、报告书、施工图等需要保存的审查资料归档不完整，或存放混乱难以查阅的。</w:t>
            </w:r>
          </w:p>
        </w:tc>
        <w:tc>
          <w:tcPr>
            <w:tcW w:w="3552"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扣1分/次</w:t>
            </w:r>
          </w:p>
        </w:tc>
        <w:tc>
          <w:tcPr>
            <w:tcW w:w="1043" w:type="dxa"/>
            <w:vMerge w:val="continue"/>
            <w:tcBorders>
              <w:top w:val="single" w:color="auto" w:sz="4" w:space="0"/>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8"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hint="eastAsia" w:ascii="Times New Roman" w:eastAsia="仿宋_GB2312" w:cs="Times New Roman"/>
                <w:color w:val="auto"/>
                <w:kern w:val="0"/>
                <w:sz w:val="24"/>
                <w:szCs w:val="24"/>
                <w:lang w:eastAsia="zh-CN"/>
              </w:rPr>
            </w:pPr>
            <w:r>
              <w:rPr>
                <w:rFonts w:ascii="Times New Roman" w:eastAsia="仿宋_GB2312" w:cs="Times New Roman"/>
                <w:color w:val="auto"/>
                <w:kern w:val="0"/>
                <w:sz w:val="24"/>
                <w:szCs w:val="24"/>
              </w:rPr>
              <w:t>5.1</w:t>
            </w:r>
            <w:r>
              <w:rPr>
                <w:rFonts w:hint="eastAsia" w:ascii="Times New Roman" w:eastAsia="仿宋_GB2312" w:cs="Times New Roman"/>
                <w:color w:val="auto"/>
                <w:kern w:val="0"/>
                <w:sz w:val="24"/>
                <w:szCs w:val="24"/>
                <w:lang w:val="en-US" w:eastAsia="zh-CN"/>
              </w:rPr>
              <w:t>4</w:t>
            </w:r>
          </w:p>
        </w:tc>
        <w:tc>
          <w:tcPr>
            <w:tcW w:w="13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4621"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0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不配合或阻挠住房城乡建设主管部门或行政执法机构的检查、调查取证的。</w:t>
            </w:r>
          </w:p>
        </w:tc>
        <w:tc>
          <w:tcPr>
            <w:tcW w:w="3552"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扣2分/次</w:t>
            </w:r>
          </w:p>
        </w:tc>
        <w:tc>
          <w:tcPr>
            <w:tcW w:w="1043" w:type="dxa"/>
            <w:vMerge w:val="restart"/>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p>
        </w:tc>
        <w:tc>
          <w:tcPr>
            <w:tcW w:w="1074" w:type="dxa"/>
            <w:vMerge w:val="restart"/>
            <w:tcBorders>
              <w:top w:val="nil"/>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2"/>
                <w:szCs w:val="22"/>
              </w:rPr>
              <w:t>自评价生效之日起12个月</w:t>
            </w:r>
          </w:p>
        </w:tc>
        <w:tc>
          <w:tcPr>
            <w:tcW w:w="1074" w:type="dxa"/>
            <w:vMerge w:val="restart"/>
            <w:tcBorders>
              <w:top w:val="nil"/>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p>
        </w:tc>
        <w:tc>
          <w:tcPr>
            <w:tcW w:w="1074" w:type="dxa"/>
            <w:vMerge w:val="restart"/>
            <w:tcBorders>
              <w:top w:val="nil"/>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8" w:hRule="atLeast"/>
          <w:jc w:val="center"/>
        </w:trPr>
        <w:tc>
          <w:tcPr>
            <w:tcW w:w="896"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400" w:lineRule="exact"/>
              <w:jc w:val="center"/>
              <w:rPr>
                <w:rFonts w:hint="eastAsia" w:ascii="Times New Roman" w:eastAsia="仿宋_GB2312" w:cs="Times New Roman"/>
                <w:color w:val="auto"/>
                <w:kern w:val="0"/>
                <w:sz w:val="24"/>
                <w:szCs w:val="24"/>
                <w:lang w:eastAsia="zh-CN"/>
              </w:rPr>
            </w:pPr>
            <w:r>
              <w:rPr>
                <w:rFonts w:ascii="Times New Roman" w:eastAsia="仿宋_GB2312" w:cs="Times New Roman"/>
                <w:color w:val="auto"/>
                <w:kern w:val="0"/>
                <w:sz w:val="24"/>
                <w:szCs w:val="24"/>
              </w:rPr>
              <w:t>5.1</w:t>
            </w:r>
            <w:r>
              <w:rPr>
                <w:rFonts w:hint="eastAsia" w:ascii="Times New Roman" w:eastAsia="仿宋_GB2312" w:cs="Times New Roman"/>
                <w:color w:val="auto"/>
                <w:kern w:val="0"/>
                <w:sz w:val="24"/>
                <w:szCs w:val="24"/>
                <w:lang w:val="en-US" w:eastAsia="zh-CN"/>
              </w:rPr>
              <w:t>5</w:t>
            </w:r>
          </w:p>
        </w:tc>
        <w:tc>
          <w:tcPr>
            <w:tcW w:w="13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4621"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30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拒不依法履行住房城乡建设主管部门做出的行政处罚的。</w:t>
            </w:r>
          </w:p>
        </w:tc>
        <w:tc>
          <w:tcPr>
            <w:tcW w:w="3552" w:type="dxa"/>
            <w:tcBorders>
              <w:top w:val="single" w:color="auto" w:sz="4" w:space="0"/>
              <w:left w:val="nil"/>
              <w:bottom w:val="single" w:color="auto" w:sz="4" w:space="0"/>
              <w:right w:val="single" w:color="auto" w:sz="4" w:space="0"/>
            </w:tcBorders>
            <w:noWrap/>
            <w:vAlign w:val="center"/>
          </w:tcPr>
          <w:p>
            <w:pPr>
              <w:shd w:val="clear"/>
              <w:adjustRightInd w:val="0"/>
              <w:snapToGrid w:val="0"/>
              <w:spacing w:line="400" w:lineRule="exact"/>
              <w:jc w:val="center"/>
              <w:rPr>
                <w:rFonts w:ascii="Times New Roman" w:eastAsia="仿宋_GB2312" w:cs="Times New Roman"/>
                <w:color w:val="auto"/>
                <w:kern w:val="0"/>
                <w:sz w:val="24"/>
                <w:szCs w:val="24"/>
              </w:rPr>
            </w:pPr>
            <w:r>
              <w:rPr>
                <w:rFonts w:ascii="Times New Roman" w:eastAsia="仿宋_GB2312" w:cs="Times New Roman"/>
                <w:color w:val="auto"/>
                <w:kern w:val="0"/>
                <w:sz w:val="24"/>
                <w:szCs w:val="24"/>
              </w:rPr>
              <w:t>扣4分/次</w:t>
            </w:r>
          </w:p>
        </w:tc>
        <w:tc>
          <w:tcPr>
            <w:tcW w:w="1043" w:type="dxa"/>
            <w:vMerge w:val="continue"/>
            <w:tcBorders>
              <w:top w:val="single" w:color="auto" w:sz="4" w:space="0"/>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c>
          <w:tcPr>
            <w:tcW w:w="1074"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auto"/>
              </w:rPr>
            </w:pPr>
          </w:p>
        </w:tc>
      </w:tr>
    </w:tbl>
    <w:p>
      <w:pPr>
        <w:shd w:val="clear"/>
        <w:adjustRightInd w:val="0"/>
        <w:snapToGrid w:val="0"/>
        <w:spacing w:line="400" w:lineRule="exact"/>
        <w:jc w:val="left"/>
        <w:rPr>
          <w:rFonts w:ascii="Times New Roman" w:eastAsia="仿宋_GB2312" w:cs="Times New Roman"/>
          <w:color w:val="auto"/>
          <w:kern w:val="0"/>
          <w:sz w:val="24"/>
          <w:szCs w:val="24"/>
        </w:rPr>
      </w:pPr>
      <w:r>
        <w:rPr>
          <w:rFonts w:ascii="Times New Roman" w:eastAsia="仿宋_GB2312" w:cs="Times New Roman"/>
          <w:color w:val="auto"/>
          <w:kern w:val="0"/>
          <w:sz w:val="24"/>
          <w:szCs w:val="24"/>
        </w:rPr>
        <w:t xml:space="preserve"> 说明：1.表中所列信用信息均由市、</w:t>
      </w:r>
      <w:r>
        <w:rPr>
          <w:rFonts w:hint="eastAsia" w:ascii="Times New Roman" w:eastAsia="仿宋_GB2312" w:cs="Times New Roman"/>
          <w:color w:val="auto"/>
          <w:kern w:val="0"/>
          <w:sz w:val="24"/>
          <w:szCs w:val="24"/>
          <w:lang w:eastAsia="zh-CN"/>
        </w:rPr>
        <w:t>区（县）</w:t>
      </w:r>
      <w:r>
        <w:rPr>
          <w:rFonts w:ascii="Times New Roman" w:eastAsia="仿宋_GB2312" w:cs="Times New Roman"/>
          <w:color w:val="auto"/>
          <w:kern w:val="0"/>
          <w:sz w:val="24"/>
          <w:szCs w:val="24"/>
        </w:rPr>
        <w:t>、园区住房城乡建设主管部门主动采集；</w:t>
      </w:r>
    </w:p>
    <w:p>
      <w:pPr>
        <w:shd w:val="clear"/>
        <w:adjustRightInd w:val="0"/>
        <w:snapToGrid w:val="0"/>
        <w:spacing w:line="400" w:lineRule="exact"/>
        <w:ind w:left="960" w:hanging="960" w:hangingChars="400"/>
        <w:jc w:val="left"/>
        <w:rPr>
          <w:rFonts w:ascii="Times New Roman" w:cs="Times New Roman"/>
          <w:color w:val="auto"/>
        </w:rPr>
        <w:sectPr>
          <w:pgSz w:w="16838" w:h="11906" w:orient="landscape"/>
          <w:pgMar w:top="1440" w:right="1800" w:bottom="1440" w:left="1800" w:header="851" w:footer="1418" w:gutter="0"/>
          <w:pgBorders>
            <w:top w:val="none" w:sz="0" w:space="0"/>
            <w:left w:val="none" w:sz="0" w:space="0"/>
            <w:bottom w:val="none" w:sz="0" w:space="0"/>
            <w:right w:val="none" w:sz="0" w:space="0"/>
          </w:pgBorders>
          <w:cols w:space="720" w:num="1"/>
          <w:docGrid w:type="lines" w:linePitch="312" w:charSpace="0"/>
        </w:sectPr>
      </w:pPr>
      <w:r>
        <w:rPr>
          <w:rFonts w:ascii="Times New Roman" w:eastAsia="仿宋_GB2312" w:cs="Times New Roman"/>
          <w:color w:val="auto"/>
          <w:kern w:val="0"/>
          <w:sz w:val="24"/>
          <w:szCs w:val="24"/>
        </w:rPr>
        <w:t xml:space="preserve">       2.对已由被评价对象现场签字确认的信用信息，采集录入后直接生效，不再进行公示，且不再受理被评价对象提出的异议申请</w:t>
      </w:r>
      <w:r>
        <w:rPr>
          <w:rFonts w:hint="eastAsia" w:ascii="Times New Roman" w:eastAsia="仿宋_GB2312" w:cs="Times New Roman"/>
          <w:color w:val="auto"/>
          <w:kern w:val="0"/>
          <w:sz w:val="24"/>
          <w:szCs w:val="24"/>
        </w:rPr>
        <w:t>。</w:t>
      </w:r>
      <w:r>
        <w:rPr>
          <w:rFonts w:ascii="Times New Roman" w:eastAsia="仿宋_GB2312" w:cs="Times New Roman"/>
          <w:color w:val="auto"/>
          <w:kern w:val="0"/>
          <w:sz w:val="24"/>
          <w:szCs w:val="24"/>
        </w:rPr>
        <w:t xml:space="preserve"> </w:t>
      </w:r>
    </w:p>
    <w:p>
      <w:pPr>
        <w:shd w:val="clear"/>
        <w:rPr>
          <w:color w:val="auto"/>
        </w:rPr>
      </w:pPr>
    </w:p>
    <w:sectPr>
      <w:pgSz w:w="11907" w:h="16839"/>
      <w:pgMar w:top="2098" w:right="1474" w:bottom="1928" w:left="1588" w:header="851" w:footer="1701"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黑_GBK">
    <w:altName w:val="宋体"/>
    <w:panose1 w:val="02000000000000000000"/>
    <w:charset w:val="86"/>
    <w:family w:val="script"/>
    <w:pitch w:val="default"/>
    <w:sig w:usb0="00000000" w:usb1="00000000" w:usb2="00080016" w:usb3="00000000" w:csb0="00040001" w:csb1="00000000"/>
  </w:font>
  <w:font w:name="仿宋_GB2312">
    <w:panose1 w:val="02010609030101010101"/>
    <w:charset w:val="86"/>
    <w:family w:val="modern"/>
    <w:pitch w:val="default"/>
    <w:sig w:usb0="00000001" w:usb1="080E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195</w:t>
    </w:r>
    <w:r>
      <w:rPr>
        <w:rFonts w:ascii="宋体" w:hAnsi="宋体" w:eastAsia="宋体"/>
        <w:sz w:val="28"/>
        <w:szCs w:val="28"/>
      </w:rPr>
      <w:fldChar w:fldCharType="end"/>
    </w:r>
    <w:r>
      <w:rPr>
        <w:rFonts w:hint="eastAsia" w:ascii="宋体" w:hAnsi="宋体" w:eastAsia="宋体"/>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196</w:t>
    </w:r>
    <w:r>
      <w:rPr>
        <w:rFonts w:ascii="宋体" w:hAnsi="宋体" w:eastAsia="宋体"/>
        <w:sz w:val="28"/>
        <w:szCs w:val="28"/>
      </w:rPr>
      <w:fldChar w:fldCharType="end"/>
    </w:r>
    <w:r>
      <w:rPr>
        <w:rFonts w:hint="eastAsia" w:ascii="宋体" w:hAnsi="宋体" w:eastAsia="宋体"/>
        <w:sz w:val="28"/>
        <w:szCs w:val="28"/>
      </w:rPr>
      <w:t xml:space="preserve"> —</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3C4DB8"/>
    <w:multiLevelType w:val="singleLevel"/>
    <w:tmpl w:val="F33C4DB8"/>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NDFjMjc5N2JiYWNhNWU2NjYwZTgzZTMzMzRiZjgifQ=="/>
  </w:docVars>
  <w:rsids>
    <w:rsidRoot w:val="3A8A641D"/>
    <w:rsid w:val="23D943AB"/>
    <w:rsid w:val="24AA0556"/>
    <w:rsid w:val="24BD373E"/>
    <w:rsid w:val="255676EF"/>
    <w:rsid w:val="29C015DB"/>
    <w:rsid w:val="3A6C46B2"/>
    <w:rsid w:val="3A8A641D"/>
    <w:rsid w:val="3EDFEEB6"/>
    <w:rsid w:val="47EF7F9E"/>
    <w:rsid w:val="50865B9C"/>
    <w:rsid w:val="67FF8B15"/>
    <w:rsid w:val="6AE410EC"/>
    <w:rsid w:val="6FF73A3E"/>
    <w:rsid w:val="7D3FAE6E"/>
    <w:rsid w:val="7EBDDDBD"/>
    <w:rsid w:val="7EE197E0"/>
    <w:rsid w:val="7F27FC99"/>
    <w:rsid w:val="964F9A0A"/>
    <w:rsid w:val="AEBDAFDB"/>
    <w:rsid w:val="B21CF3D0"/>
    <w:rsid w:val="D93F7818"/>
    <w:rsid w:val="F76BD722"/>
    <w:rsid w:val="FEFED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兰亭黑_GBK" w:hAnsi="Times New Roman" w:eastAsia="方正兰亭黑_GBK" w:cs="方正兰亭黑_GBK"/>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line="357" w:lineRule="atLeast"/>
      <w:jc w:val="left"/>
    </w:pPr>
    <w:rPr>
      <w:rFonts w:ascii="宋体" w:hAnsi="宋体" w:eastAsia="仿宋_GB2312"/>
      <w:kern w:val="0"/>
      <w:sz w:val="24"/>
      <w:szCs w:val="24"/>
    </w:rPr>
  </w:style>
  <w:style w:type="paragraph" w:styleId="4">
    <w:name w:val="Body Text First Indent 2"/>
    <w:basedOn w:val="1"/>
    <w:qFormat/>
    <w:uiPriority w:val="0"/>
    <w:pPr>
      <w:spacing w:line="594" w:lineRule="exact"/>
      <w:ind w:firstLine="200" w:firstLineChars="200"/>
    </w:pPr>
    <w:rPr>
      <w:rFonts w:ascii="Times New Roman" w:hAnsi="Times New Roman" w:eastAsia="宋体"/>
      <w:kern w:val="0"/>
      <w:sz w:val="20"/>
      <w:szCs w:val="20"/>
    </w:rPr>
  </w:style>
  <w:style w:type="character" w:customStyle="1" w:styleId="7">
    <w:name w:val="17"/>
    <w:qFormat/>
    <w:uiPriority w:val="0"/>
    <w:rPr>
      <w:rFonts w:ascii="Times New Roman" w:hAnsi="Times New Roman"/>
      <w:b/>
      <w:bCs/>
    </w:rPr>
  </w:style>
  <w:style w:type="paragraph" w:customStyle="1" w:styleId="8">
    <w:name w:val="p1"/>
    <w:basedOn w:val="1"/>
    <w:qFormat/>
    <w:uiPriority w:val="0"/>
    <w:pPr>
      <w:spacing w:line="525" w:lineRule="atLeast"/>
      <w:ind w:firstLine="375"/>
    </w:pPr>
    <w:rPr>
      <w:rFonts w:ascii="Calibri" w:hAnsi="Calibri" w:eastAsia="宋体"/>
    </w:rPr>
  </w:style>
  <w:style w:type="paragraph" w:customStyle="1" w:styleId="9">
    <w:name w:val="p0"/>
    <w:basedOn w:val="1"/>
    <w:qFormat/>
    <w:uiPriority w:val="0"/>
    <w:pPr>
      <w:widowControl/>
    </w:pPr>
    <w:rPr>
      <w:rFonts w:ascii="Calibri" w:hAnsi="Calibri" w:eastAsia="宋体"/>
      <w:kern w:val="0"/>
    </w:rPr>
  </w:style>
  <w:style w:type="paragraph" w:customStyle="1" w:styleId="10">
    <w:name w:val="正文1"/>
    <w:basedOn w:val="1"/>
    <w:qFormat/>
    <w:uiPriority w:val="0"/>
    <w:pPr>
      <w:widowControl/>
    </w:pPr>
    <w:rPr>
      <w:rFonts w:ascii="Calibri" w:hAnsi="Calibri" w:eastAsia="宋体" w:cs="宋体"/>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4768</Words>
  <Characters>4896</Characters>
  <Lines>0</Lines>
  <Paragraphs>0</Paragraphs>
  <TotalTime>3</TotalTime>
  <ScaleCrop>false</ScaleCrop>
  <LinksUpToDate>false</LinksUpToDate>
  <CharactersWithSpaces>4942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2023-03-12T00:09:00Z</dcterms:created>
  <dc:creator>D3</dc:creator>
  <cp:lastModifiedBy>lsyangyc</cp:lastModifiedBy>
  <cp:lastPrinted>2023-06-03T03:42:00Z</cp:lastPrinted>
  <dcterms:modified xsi:type="dcterms:W3CDTF">2023-06-14T06:21:56Z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D98A01C0EB564654A95E63A94A960F38</vt:lpwstr>
  </property>
</Properties>
</file>