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560" w:lineRule="exact"/>
        <w:rPr>
          <w:rFonts w:ascii="楷体_GB2312" w:hAnsi="黑体" w:eastAsia="楷体_GB2312" w:cs="黑体"/>
          <w:sz w:val="32"/>
          <w:szCs w:val="32"/>
        </w:rPr>
      </w:pPr>
      <w:r>
        <w:rPr>
          <w:rFonts w:hint="eastAsia" w:ascii="楷体_GB2312" w:hAnsi="黑体" w:eastAsia="楷体_GB2312" w:cs="黑体"/>
          <w:sz w:val="32"/>
          <w:szCs w:val="32"/>
        </w:rPr>
        <w:t>附件1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政府信息公开情况统计表</w:t>
      </w:r>
    </w:p>
    <w:p>
      <w:pPr>
        <w:widowControl/>
        <w:adjustRightInd w:val="0"/>
        <w:snapToGrid w:val="0"/>
        <w:spacing w:before="156" w:beforeLines="50" w:line="360" w:lineRule="auto"/>
        <w:jc w:val="center"/>
        <w:rPr>
          <w:rFonts w:hint="eastAsia" w:ascii="仿宋_GB2312" w:hAnsi="ˎ̥" w:eastAsia="仿宋_GB2312"/>
        </w:rPr>
      </w:pPr>
      <w:r>
        <w:rPr>
          <w:rFonts w:hint="eastAsia" w:ascii="仿宋_GB2312" w:hAnsi="ˎ̥" w:eastAsia="仿宋_GB2312"/>
        </w:rPr>
        <w:t>（2018年度）</w:t>
      </w:r>
    </w:p>
    <w:p>
      <w:pPr>
        <w:widowControl/>
        <w:adjustRightInd w:val="0"/>
        <w:snapToGrid w:val="0"/>
        <w:spacing w:line="360" w:lineRule="auto"/>
        <w:rPr>
          <w:rFonts w:hint="eastAsia" w:ascii="仿宋_GB2312" w:hAnsi="ˎ̥" w:eastAsia="仿宋_GB2312"/>
        </w:rPr>
      </w:pPr>
      <w:r>
        <w:rPr>
          <w:rFonts w:hint="eastAsia" w:ascii="仿宋_GB2312" w:hAnsi="ˎ̥" w:eastAsia="仿宋_GB2312"/>
        </w:rPr>
        <w:t>填报单位（盖章）：乐山市住房和城乡规划建设局</w:t>
      </w:r>
    </w:p>
    <w:tbl>
      <w:tblPr>
        <w:tblStyle w:val="2"/>
        <w:tblW w:w="0" w:type="auto"/>
        <w:jc w:val="center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7074"/>
        <w:gridCol w:w="822"/>
        <w:gridCol w:w="1236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统 计 指 标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单位</w:t>
            </w:r>
            <w:r>
              <w:rPr>
                <w:rFonts w:hint="eastAsia" w:ascii="宋体" w:hAnsi="宋体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一、主动公开情况</w:t>
            </w:r>
            <w:r>
              <w:rPr>
                <w:rFonts w:hint="eastAsia" w:ascii="宋体" w:hAnsi="宋体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ind w:firstLine="39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（一）主动公开政府信息数 </w:t>
            </w:r>
          </w:p>
          <w:p>
            <w:pPr>
              <w:widowControl/>
              <w:ind w:firstLine="490" w:firstLineChars="245"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（不同渠道和方式公开相同信息计1条）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850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其中：主动公开规范性文件数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制发规范性文件总数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（二）通过不同渠道和方式公开政府信息的情况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1.政府公报公开政府信息数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2.政府网站公开政府信息数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542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80" w:hRule="atLeast"/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3.政务微博公开政府信息数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229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4.政务微信公开政府信息数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839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5.其他方式公开政府信息数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308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14" w:hRule="atLeast"/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二、回应解读情况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single" w:color="0A0A0A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14" w:hRule="atLeast"/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ind w:firstLine="39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（一）回应公众关注热点或重大舆情数</w:t>
            </w:r>
          </w:p>
          <w:p>
            <w:pPr>
              <w:widowControl/>
              <w:ind w:firstLine="890" w:firstLineChars="445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（不同方式回应同一热点或舆情计1次）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次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（二）通过不同渠道和方式回应解读的情况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32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1.参加或举办新闻发布会总次数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次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 其中：主要负责同志参加新闻发布会次数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次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2.政府网站在线访谈次数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次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 其中：主要负责同志参加政府网站在线访谈次数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次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3.政策解读稿件发布数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篇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4.微博微信回应事件数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次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25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5.其他方式回应事件数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次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三、依申请公开情况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single" w:color="0A0A0A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（一）收到申请数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1.当面申请数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2.传真申请数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3.网络申请数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4.信函申请数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（二）申请办结数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1.按时办结数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14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2.延期办结数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（三）申请答复数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15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1.属于已主动公开范围数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90" w:hRule="atLeast"/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2.同意公开答复数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14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3.同意部分公开答复数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4.不同意公开答复数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  其中：涉及国家秘密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 涉及商业秘密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 涉及个人隐私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 危及国家安全、公共安全、经济安全和社会稳定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 不是《条例》所指政府信息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59" w:hRule="atLeast"/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 法律法规规定的其他情形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59" w:hRule="atLeast"/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5.不属于本行政机关公开数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6.申请信息不存在数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7.告知作出更改补充数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8.告知通过其他途径办理数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四、行政复议数量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（一）维持具体行政行为数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（二）被依法纠错数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（三）其他情形数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五、行政诉讼数量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（一）维持具体行政行为或者驳回原告诉讼请求数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（二）被依法纠错数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（三）其他情形数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六、举报投诉数量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件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七、依申请公开信息收取的费用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万元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八、机构建设和保障经费情况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（一）政府信息公开工作专门机构数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个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（二）设置政府信息公开查阅点数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个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（三）从事政府信息公开工作人员数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人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1.专职人员数（不包括政府公报及政府网站工作人员数）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人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2.兼职人员数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人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ind w:left="1000" w:hanging="1000" w:hangingChars="500"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（四）政府信息公开专项经费（不包括用于政府公报编辑管理及政府网站建设维护等方面的经费）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万元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九、政府信息公开会议和培训情况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（一）召开政府信息公开工作会议或专题会议数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次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（二）举办各类培训班数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次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（三）接受培训人员数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人次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>
              <w:rPr>
                <w:rFonts w:hAnsi="宋体" w:cs="宋体"/>
                <w:kern w:val="0"/>
                <w:sz w:val="20"/>
                <w:szCs w:val="20"/>
              </w:rPr>
              <w:t>65</w:t>
            </w:r>
          </w:p>
        </w:tc>
      </w:tr>
    </w:tbl>
    <w:p>
      <w:pPr>
        <w:widowControl/>
        <w:adjustRightInd w:val="0"/>
        <w:snapToGrid w:val="0"/>
        <w:spacing w:line="326" w:lineRule="atLeast"/>
        <w:jc w:val="left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 xml:space="preserve"> </w:t>
      </w:r>
    </w:p>
    <w:p>
      <w:pPr>
        <w:widowControl/>
        <w:adjustRightInd w:val="0"/>
        <w:snapToGrid w:val="0"/>
        <w:spacing w:line="326" w:lineRule="atLeast"/>
        <w:jc w:val="left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 xml:space="preserve">单位负责人：叶德松            审核人：贾新战 </w:t>
      </w:r>
      <w:r>
        <w:rPr>
          <w:rFonts w:hAnsi="宋体" w:cs="宋体"/>
          <w:kern w:val="0"/>
        </w:rPr>
        <w:t xml:space="preserve">               </w:t>
      </w:r>
      <w:r>
        <w:rPr>
          <w:rFonts w:hint="eastAsia" w:ascii="宋体" w:hAnsi="宋体"/>
          <w:kern w:val="0"/>
        </w:rPr>
        <w:t xml:space="preserve"> 填报人：张泽浩</w:t>
      </w:r>
    </w:p>
    <w:p>
      <w:pPr>
        <w:widowControl/>
        <w:adjustRightInd w:val="0"/>
        <w:snapToGrid w:val="0"/>
        <w:spacing w:line="326" w:lineRule="atLeast"/>
        <w:jc w:val="left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 xml:space="preserve">联系电话：2134106        </w:t>
      </w:r>
      <w:r>
        <w:rPr>
          <w:rFonts w:hAnsi="宋体" w:cs="宋体"/>
          <w:kern w:val="0"/>
        </w:rPr>
        <w:t xml:space="preserve">                     </w:t>
      </w:r>
      <w:r>
        <w:rPr>
          <w:rFonts w:hint="eastAsia" w:ascii="宋体" w:hAnsi="宋体"/>
          <w:kern w:val="0"/>
        </w:rPr>
        <w:t xml:space="preserve">       填报日期：2019年2月1</w:t>
      </w:r>
      <w:r>
        <w:rPr>
          <w:rFonts w:hAnsi="宋体" w:cs="宋体"/>
          <w:kern w:val="0"/>
        </w:rPr>
        <w:t>4</w:t>
      </w:r>
      <w:r>
        <w:rPr>
          <w:rFonts w:hint="eastAsia" w:ascii="宋体" w:hAnsi="宋体"/>
          <w:kern w:val="0"/>
        </w:rPr>
        <w:t>日</w:t>
      </w:r>
    </w:p>
    <w:p>
      <w:pPr>
        <w:widowControl/>
        <w:adjustRightInd w:val="0"/>
        <w:snapToGrid w:val="0"/>
        <w:spacing w:line="326" w:lineRule="atLeast"/>
        <w:jc w:val="left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E7A4B"/>
    <w:rsid w:val="4D5E7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2020-11-26T03:21:00Z</dcterms:created>
  <dc:creator>好易通客服刘倩</dc:creator>
  <cp:lastModifiedBy>好易通客服刘倩</cp:lastModifiedBy>
  <dcterms:modified xsi:type="dcterms:W3CDTF">2020-11-26T03:25:17Z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